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Design Phase — Proposed Solution Report</w:t>
      </w:r>
    </w:p>
    <w:p>
      <w:pPr>
        <w:jc w:val="center"/>
      </w:pPr>
      <w:r>
        <w:rPr>
          <w:b/>
          <w:color w:val="0F9D9A"/>
          <w:sz w:val="26"/>
        </w:rPr>
        <w:t>Implement Client Script &amp; UI Policy (Incident)</w:t>
      </w:r>
    </w:p>
    <w:p>
      <w:pPr>
        <w:jc w:val="center"/>
      </w:pPr>
      <w:r>
        <w:rPr>
          <w:i/>
        </w:rPr>
        <w:t>01 October 2026 | Project Design Phase | SWTID-2026-4755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Project value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01 October 2026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Team ID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SWTID-2026-4755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Name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 Client Script &amp; UI Policy (Incident)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focus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Specify the solution behavior, novelty, impact, scale, and implementation workflow</w:t>
            </w:r>
          </w:p>
        </w:tc>
      </w:tr>
    </w:tbl>
    <w:p>
      <w:pPr>
        <w:spacing w:before="180" w:after="80"/>
      </w:pPr>
      <w:r>
        <w:rPr>
          <w:b/>
          <w:color w:val="17365D"/>
          <w:sz w:val="30"/>
        </w:rPr>
        <w:t>1. Proposed solution overview</w:t>
      </w:r>
    </w:p>
    <w:p>
      <w:r>
        <w:t>Implement a coordinated ServiceNow Incident control pattern. A UI Policy named High Impact Control activates when Impact is 1 – High. Its actions make Assignment group mandatory and Urgency read-only. An onChange script sets Urgency to High, an onSubmit script blocks a save when Assigned To is missing, and an onCellEdit script prevents direct State changes from a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217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incident_new_admin_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7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new ServiceNow administrator configuration workspace for the Incident controls.</w:t>
      </w:r>
    </w:p>
    <w:p>
      <w:pPr>
        <w:spacing w:before="180" w:after="80"/>
      </w:pPr>
      <w:r>
        <w:rPr>
          <w:b/>
          <w:color w:val="17365D"/>
          <w:sz w:val="30"/>
        </w:rPr>
        <w:t>2. Solution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Policy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 Impact Control on Incident; Active = true; Impact is 1 – High; Reverse if false = true.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Activates conditional field behavior only at high impact.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Policy Action 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Assignment group — Mandatory = true.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Forces a routing destination.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Policy Action 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Urgency — Read-only = true; visible unchanged.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Prevents conflicting manual urgency entry.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 Script 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 set urgency for high impact; onChange; field Impact.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Sets urgency = 1 and displays info message.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 Script 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Prevent save if Assigned To missing; onSubmit.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Shows error and returns false for invalid high-impact save.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Client Script 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Prevent state change via list edit; onCellEdit; field State.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Alerts user and callback(false).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control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high-impact Incident form state with actionable validation.</w:t>
      </w:r>
    </w:p>
    <w:p>
      <w:pPr>
        <w:spacing w:before="180" w:after="80"/>
      </w:pPr>
      <w:r>
        <w:rPr>
          <w:b/>
          <w:color w:val="17365D"/>
          <w:sz w:val="30"/>
        </w:rPr>
        <w:t>3. Functional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System response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or create Incident.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Standard Incident form loads.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 Impact = High.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 Policy activates; Assignment group becomes mandatory; Urgency becomes controlled.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Continue without Assigned To.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onSubmit shows an error and prevents save.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Populate Assigned To and submit.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 saves if other form requirements are satisfied.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Edit State directly from list.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onCellEdit alerts user and rejects the change.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State on full form.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Valid form-based update remains allowed.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 away from High.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Reverse if false restores normal UI behavior.</w:t>
            </w:r>
          </w:p>
        </w:tc>
      </w:tr>
    </w:tbl>
    <w:p>
      <w:pPr>
        <w:spacing w:before="180" w:after="80"/>
      </w:pPr>
      <w:r>
        <w:rPr>
          <w:b/>
          <w:color w:val="17365D"/>
          <w:sz w:val="30"/>
        </w:rPr>
        <w:t>4. User and business value</w:t>
      </w:r>
    </w:p>
    <w:p>
      <w:pPr>
        <w:spacing w:after="40"/>
        <w:ind w:left="360" w:hanging="245"/>
      </w:pPr>
      <w:r>
        <w:t>• Agents receive guidance at the correct moment instead of after-the-fact correction.</w:t>
      </w:r>
    </w:p>
    <w:p>
      <w:pPr>
        <w:spacing w:after="40"/>
        <w:ind w:left="360" w:hanging="245"/>
      </w:pPr>
      <w:r>
        <w:t>• Incident managers receive more complete ownership and routing information.</w:t>
      </w:r>
    </w:p>
    <w:p>
      <w:pPr>
        <w:spacing w:after="40"/>
        <w:ind w:left="360" w:hanging="245"/>
      </w:pPr>
      <w:r>
        <w:t>• Urgency is aligned with the high-impact signal.</w:t>
      </w:r>
    </w:p>
    <w:p>
      <w:pPr>
        <w:spacing w:after="40"/>
        <w:ind w:left="360" w:hanging="245"/>
      </w:pPr>
      <w:r>
        <w:t>• State transitions are protected from context-free list edits.</w:t>
      </w:r>
    </w:p>
    <w:p>
      <w:pPr>
        <w:spacing w:after="40"/>
        <w:ind w:left="360" w:hanging="245"/>
      </w:pPr>
      <w:r>
        <w:t>• Administrators can troubleshoot named controls by table, type, field, and event.</w:t>
      </w:r>
    </w:p>
    <w:p>
      <w:pPr>
        <w:spacing w:after="40"/>
        <w:ind w:left="360" w:hanging="245"/>
      </w:pPr>
      <w:r>
        <w:t>• Operations avoid a new application stack for a small but important data-quality problem.</w:t>
      </w:r>
    </w:p>
    <w:p>
      <w:pPr>
        <w:spacing w:before="180" w:after="80"/>
      </w:pPr>
      <w:r>
        <w:rPr>
          <w:b/>
          <w:color w:val="17365D"/>
          <w:sz w:val="30"/>
        </w:rPr>
        <w:t>5. Novelty / uniqueness</w:t>
      </w:r>
    </w:p>
    <w:p>
      <w:r>
        <w:t>The novelty is the coordinated use of three client-side event types with a reversible UI Policy. The design uses the minimum intervention necessary: conditional controls for high-impact work, automation for repeatable urgency alignment, submit validation for ownership, and list-edit protection for workflow State. It is deliberately explainable rather than artificially complex.</w:t>
      </w:r>
    </w:p>
    <w:p>
      <w:pPr>
        <w:spacing w:before="180" w:after="80"/>
      </w:pPr>
      <w:r>
        <w:rPr>
          <w:b/>
          <w:color w:val="17365D"/>
          <w:sz w:val="30"/>
        </w:rPr>
        <w:t>6. Scalability and extension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Extension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baseline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 Impact/Urgency/Assignment group/Assigned To/State.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Directly matches project PDF.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Hardening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Server-side Data Policy or Business Rule equivalents.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Cover integrations that bypass the form.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Operational analytics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 incomplete/high-impact records and blocked actions.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Measure quality and rework after rollout.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Workflow expansion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Apply pattern to Priority, Category, major incident, or change processes.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Reuse the design where conditions are explicit.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journey_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project visual: service desk journey supporting the proposed solution.</w:t>
      </w:r>
    </w:p>
    <w:p>
      <w:pPr>
        <w:spacing w:before="180" w:after="80"/>
      </w:pPr>
      <w:r>
        <w:rPr>
          <w:b/>
          <w:color w:val="17365D"/>
          <w:sz w:val="30"/>
        </w:rPr>
        <w:t>7. Implementation workflow</w:t>
      </w:r>
    </w:p>
    <w:p>
      <w:pPr>
        <w:spacing w:after="40"/>
        <w:ind w:left="360" w:hanging="245"/>
      </w:pPr>
      <w:r>
        <w:t>• Create and activate High Impact Control.</w:t>
      </w:r>
    </w:p>
    <w:p>
      <w:pPr>
        <w:spacing w:after="40"/>
        <w:ind w:left="360" w:hanging="245"/>
      </w:pPr>
      <w:r>
        <w:t>• Configure UI Policy Actions for Assignment group and Urgency.</w:t>
      </w:r>
    </w:p>
    <w:p>
      <w:pPr>
        <w:spacing w:after="40"/>
        <w:ind w:left="360" w:hanging="245"/>
      </w:pPr>
      <w:r>
        <w:t>• Create and activate the onChange Client Script on Impact.</w:t>
      </w:r>
    </w:p>
    <w:p>
      <w:pPr>
        <w:spacing w:after="40"/>
        <w:ind w:left="360" w:hanging="245"/>
      </w:pPr>
      <w:r>
        <w:t>• Create and activate the onSubmit Client Script for Assigned To.</w:t>
      </w:r>
    </w:p>
    <w:p>
      <w:pPr>
        <w:spacing w:after="40"/>
        <w:ind w:left="360" w:hanging="245"/>
      </w:pPr>
      <w:r>
        <w:t>• Create and activate the onCellEdit Client Script for State.</w:t>
      </w:r>
    </w:p>
    <w:p>
      <w:pPr>
        <w:spacing w:after="40"/>
        <w:ind w:left="360" w:hanging="245"/>
      </w:pPr>
      <w:r>
        <w:t>• Run positive, negative, reverse-condition, list-edit, and form-update tests.</w:t>
      </w:r>
    </w:p>
    <w:p>
      <w:pPr>
        <w:spacing w:after="40"/>
        <w:ind w:left="360" w:hanging="245"/>
      </w:pPr>
      <w:r>
        <w:t>• Document evidence and prepare administrator handoff.</w:t>
      </w:r>
    </w:p>
    <w:p>
      <w:pPr>
        <w:spacing w:before="180" w:after="80"/>
      </w:pPr>
      <w:r>
        <w:rPr>
          <w:b/>
          <w:color w:val="17365D"/>
          <w:sz w:val="30"/>
        </w:rPr>
        <w:t>8. Proposed solution conclusion</w:t>
      </w:r>
    </w:p>
    <w:p>
      <w:r>
        <w:t>This solution is feasible, native, and directly traceable to the project PDF. It delivers visible agent guidance and deterministic data protection while preserving valid workflow updates and leaving a clear path to server-side hardening.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