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Project Design Phase — Solution Architecture Report</w:t>
      </w:r>
    </w:p>
    <w:p>
      <w:pPr>
        <w:jc w:val="center"/>
      </w:pPr>
      <w:r>
        <w:rPr>
          <w:b/>
          <w:color w:val="0F9D9A"/>
          <w:sz w:val="26"/>
        </w:rPr>
        <w:t>Implement Client Script &amp; UI Policy (Incident)</w:t>
      </w:r>
    </w:p>
    <w:p>
      <w:pPr>
        <w:jc w:val="center"/>
      </w:pPr>
      <w:r>
        <w:rPr>
          <w:i/>
        </w:rPr>
        <w:t>01 October 2026 | Project Design Phase | SWTID-2026-4755</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365D"/>
          </w:tcPr>
          <w:p>
            <w:pPr>
              <w:spacing w:after="0"/>
            </w:pPr>
            <w:r/>
            <w:r>
              <w:rPr>
                <w:b/>
                <w:color w:val="FFFFFF"/>
                <w:sz w:val="16"/>
              </w:rPr>
              <w:t>Field</w:t>
            </w:r>
          </w:p>
        </w:tc>
        <w:tc>
          <w:tcPr>
            <w:tcW w:type="dxa" w:w="5141"/>
            <w:vAlign w:val="center"/>
            <w:shd w:fill="17365D"/>
          </w:tcPr>
          <w:p>
            <w:pPr>
              <w:spacing w:after="0"/>
            </w:pPr>
            <w:r/>
            <w:r>
              <w:rPr>
                <w:b/>
                <w:color w:val="FFFFFF"/>
                <w:sz w:val="16"/>
              </w:rPr>
              <w:t>Project value</w:t>
            </w:r>
          </w:p>
        </w:tc>
      </w:tr>
      <w:tr>
        <w:tc>
          <w:tcPr>
            <w:tcW w:type="dxa" w:w="5141"/>
            <w:vAlign w:val="center"/>
          </w:tcPr>
          <w:p>
            <w:pPr>
              <w:spacing w:after="0"/>
            </w:pPr>
            <w:r/>
            <w:r>
              <w:rPr>
                <w:b w:val="0"/>
                <w:sz w:val="14"/>
              </w:rPr>
              <w:t>Date</w:t>
            </w:r>
          </w:p>
        </w:tc>
        <w:tc>
          <w:tcPr>
            <w:tcW w:type="dxa" w:w="5141"/>
            <w:vAlign w:val="center"/>
          </w:tcPr>
          <w:p>
            <w:pPr>
              <w:spacing w:after="0"/>
            </w:pPr>
            <w:r/>
            <w:r>
              <w:rPr>
                <w:b w:val="0"/>
                <w:sz w:val="14"/>
              </w:rPr>
              <w:t>01 October 2026</w:t>
            </w:r>
          </w:p>
        </w:tc>
      </w:tr>
      <w:tr>
        <w:tc>
          <w:tcPr>
            <w:tcW w:type="dxa" w:w="5141"/>
            <w:vAlign w:val="center"/>
          </w:tcPr>
          <w:p>
            <w:pPr>
              <w:spacing w:after="0"/>
            </w:pPr>
            <w:r/>
            <w:r>
              <w:rPr>
                <w:b w:val="0"/>
                <w:sz w:val="14"/>
              </w:rPr>
              <w:t>Team ID</w:t>
            </w:r>
          </w:p>
        </w:tc>
        <w:tc>
          <w:tcPr>
            <w:tcW w:type="dxa" w:w="5141"/>
            <w:vAlign w:val="center"/>
          </w:tcPr>
          <w:p>
            <w:pPr>
              <w:spacing w:after="0"/>
            </w:pPr>
            <w:r/>
            <w:r>
              <w:rPr>
                <w:b w:val="0"/>
                <w:sz w:val="14"/>
              </w:rPr>
              <w:t>SWTID-2026-4755</w:t>
            </w:r>
          </w:p>
        </w:tc>
      </w:tr>
      <w:tr>
        <w:tc>
          <w:tcPr>
            <w:tcW w:type="dxa" w:w="5141"/>
            <w:vAlign w:val="center"/>
          </w:tcPr>
          <w:p>
            <w:pPr>
              <w:spacing w:after="0"/>
            </w:pPr>
            <w:r/>
            <w:r>
              <w:rPr>
                <w:b w:val="0"/>
                <w:sz w:val="14"/>
              </w:rPr>
              <w:t>Project Name</w:t>
            </w:r>
          </w:p>
        </w:tc>
        <w:tc>
          <w:tcPr>
            <w:tcW w:type="dxa" w:w="5141"/>
            <w:vAlign w:val="center"/>
          </w:tcPr>
          <w:p>
            <w:pPr>
              <w:spacing w:after="0"/>
            </w:pPr>
            <w:r/>
            <w:r>
              <w:rPr>
                <w:b w:val="0"/>
                <w:sz w:val="14"/>
              </w:rPr>
              <w:t>Implement Client Script &amp; UI Policy (Incident)</w:t>
            </w:r>
          </w:p>
        </w:tc>
      </w:tr>
      <w:tr>
        <w:tc>
          <w:tcPr>
            <w:tcW w:type="dxa" w:w="5141"/>
            <w:vAlign w:val="center"/>
          </w:tcPr>
          <w:p>
            <w:pPr>
              <w:spacing w:after="0"/>
            </w:pPr>
            <w:r/>
            <w:r>
              <w:rPr>
                <w:b w:val="0"/>
                <w:sz w:val="14"/>
              </w:rPr>
              <w:t>Design focus</w:t>
            </w:r>
          </w:p>
        </w:tc>
        <w:tc>
          <w:tcPr>
            <w:tcW w:type="dxa" w:w="5141"/>
            <w:vAlign w:val="center"/>
          </w:tcPr>
          <w:p>
            <w:pPr>
              <w:spacing w:after="0"/>
            </w:pPr>
            <w:r/>
            <w:r>
              <w:rPr>
                <w:b w:val="0"/>
                <w:sz w:val="14"/>
              </w:rPr>
              <w:t>Define layers, responsibilities, control flow, boundaries, and verification architecture</w:t>
            </w:r>
          </w:p>
        </w:tc>
      </w:tr>
    </w:tbl>
    <w:p>
      <w:pPr>
        <w:spacing w:before="180" w:after="80"/>
      </w:pPr>
      <w:r>
        <w:rPr>
          <w:b/>
          <w:color w:val="17365D"/>
          <w:sz w:val="30"/>
        </w:rPr>
        <w:t>1. Architecture objective</w:t>
      </w:r>
    </w:p>
    <w:p>
      <w:r>
        <w:t>Place the business rule at the ServiceNow Incident experience where the user action occurs, while keeping data persistence, auditability, and authorization within the platform. The architecture must distinguish user guidance from security enforcement: client controls improve form quality; roles, ACLs, and server-side policies remain authoritative.</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incident_architecture_visual.png"/>
                    <pic:cNvPicPr/>
                  </pic:nvPicPr>
                  <pic:blipFill>
                    <a:blip r:embed="rId9"/>
                    <a:stretch>
                      <a:fillRect/>
                    </a:stretch>
                  </pic:blipFill>
                  <pic:spPr>
                    <a:xfrm>
                      <a:off x="0" y="0"/>
                      <a:ext cx="5715000" cy="3214688"/>
                    </a:xfrm>
                    <a:prstGeom prst="rect"/>
                  </pic:spPr>
                </pic:pic>
              </a:graphicData>
            </a:graphic>
          </wp:inline>
        </w:drawing>
      </w:r>
    </w:p>
    <w:p>
      <w:pPr>
        <w:jc w:val="center"/>
      </w:pPr>
      <w:r>
        <w:rPr>
          <w:i/>
          <w:sz w:val="16"/>
        </w:rPr>
        <w:t>Generated architecture visual: Service Desk Agent → Incident Form → UI Policy / Client Scripts → Incident Record → Audit / History.</w:t>
      </w:r>
    </w:p>
    <w:p>
      <w:pPr>
        <w:spacing w:before="180" w:after="80"/>
      </w:pPr>
      <w:r>
        <w:rPr>
          <w:b/>
          <w:color w:val="17365D"/>
          <w:sz w:val="30"/>
        </w:rPr>
        <w:t>2. Logical layers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7365D"/>
          </w:tcPr>
          <w:p>
            <w:pPr>
              <w:spacing w:after="0"/>
            </w:pPr>
            <w:r/>
            <w:r>
              <w:rPr>
                <w:b/>
                <w:color w:val="FFFFFF"/>
                <w:sz w:val="16"/>
              </w:rPr>
              <w:t>Layer</w:t>
            </w:r>
          </w:p>
        </w:tc>
        <w:tc>
          <w:tcPr>
            <w:tcW w:type="dxa" w:w="2570"/>
            <w:vAlign w:val="center"/>
            <w:shd w:fill="17365D"/>
          </w:tcPr>
          <w:p>
            <w:pPr>
              <w:spacing w:after="0"/>
            </w:pPr>
            <w:r/>
            <w:r>
              <w:rPr>
                <w:b/>
                <w:color w:val="FFFFFF"/>
                <w:sz w:val="16"/>
              </w:rPr>
              <w:t>Component</w:t>
            </w:r>
          </w:p>
        </w:tc>
        <w:tc>
          <w:tcPr>
            <w:tcW w:type="dxa" w:w="2570"/>
            <w:vAlign w:val="center"/>
            <w:shd w:fill="17365D"/>
          </w:tcPr>
          <w:p>
            <w:pPr>
              <w:spacing w:after="0"/>
            </w:pPr>
            <w:r/>
            <w:r>
              <w:rPr>
                <w:b/>
                <w:color w:val="FFFFFF"/>
                <w:sz w:val="16"/>
              </w:rPr>
              <w:t>Responsibility</w:t>
            </w:r>
          </w:p>
        </w:tc>
        <w:tc>
          <w:tcPr>
            <w:tcW w:type="dxa" w:w="2570"/>
            <w:vAlign w:val="center"/>
            <w:shd w:fill="17365D"/>
          </w:tcPr>
          <w:p>
            <w:pPr>
              <w:spacing w:after="0"/>
            </w:pPr>
            <w:r/>
            <w:r>
              <w:rPr>
                <w:b/>
                <w:color w:val="FFFFFF"/>
                <w:sz w:val="16"/>
              </w:rPr>
              <w:t>Boundary</w:t>
            </w:r>
          </w:p>
        </w:tc>
      </w:tr>
      <w:tr>
        <w:tc>
          <w:tcPr>
            <w:tcW w:type="dxa" w:w="2570"/>
            <w:vAlign w:val="center"/>
          </w:tcPr>
          <w:p>
            <w:pPr>
              <w:spacing w:after="0"/>
            </w:pPr>
            <w:r/>
            <w:r>
              <w:rPr>
                <w:b w:val="0"/>
                <w:sz w:val="14"/>
              </w:rPr>
              <w:t>Experience</w:t>
            </w:r>
          </w:p>
        </w:tc>
        <w:tc>
          <w:tcPr>
            <w:tcW w:type="dxa" w:w="2570"/>
            <w:vAlign w:val="center"/>
          </w:tcPr>
          <w:p>
            <w:pPr>
              <w:spacing w:after="0"/>
            </w:pPr>
            <w:r/>
            <w:r>
              <w:rPr>
                <w:b w:val="0"/>
                <w:sz w:val="14"/>
              </w:rPr>
              <w:t>Incident form and Incident list</w:t>
            </w:r>
          </w:p>
        </w:tc>
        <w:tc>
          <w:tcPr>
            <w:tcW w:type="dxa" w:w="2570"/>
            <w:vAlign w:val="center"/>
          </w:tcPr>
          <w:p>
            <w:pPr>
              <w:spacing w:after="0"/>
            </w:pPr>
            <w:r/>
            <w:r>
              <w:rPr>
                <w:b w:val="0"/>
                <w:sz w:val="14"/>
              </w:rPr>
              <w:t>Capture values, show field states, display messages.</w:t>
            </w:r>
          </w:p>
        </w:tc>
        <w:tc>
          <w:tcPr>
            <w:tcW w:type="dxa" w:w="2570"/>
            <w:vAlign w:val="center"/>
          </w:tcPr>
          <w:p>
            <w:pPr>
              <w:spacing w:after="0"/>
            </w:pPr>
            <w:r/>
            <w:r>
              <w:rPr>
                <w:b w:val="0"/>
                <w:sz w:val="14"/>
              </w:rPr>
              <w:t>User interaction only.</w:t>
            </w:r>
          </w:p>
        </w:tc>
      </w:tr>
      <w:tr>
        <w:tc>
          <w:tcPr>
            <w:tcW w:type="dxa" w:w="2570"/>
            <w:vAlign w:val="center"/>
          </w:tcPr>
          <w:p>
            <w:pPr>
              <w:spacing w:after="0"/>
            </w:pPr>
            <w:r/>
            <w:r>
              <w:rPr>
                <w:b w:val="0"/>
                <w:sz w:val="14"/>
              </w:rPr>
              <w:t>Policy</w:t>
            </w:r>
          </w:p>
        </w:tc>
        <w:tc>
          <w:tcPr>
            <w:tcW w:type="dxa" w:w="2570"/>
            <w:vAlign w:val="center"/>
          </w:tcPr>
          <w:p>
            <w:pPr>
              <w:spacing w:after="0"/>
            </w:pPr>
            <w:r/>
            <w:r>
              <w:rPr>
                <w:b w:val="0"/>
                <w:sz w:val="14"/>
              </w:rPr>
              <w:t>High Impact Control UI Policy</w:t>
            </w:r>
          </w:p>
        </w:tc>
        <w:tc>
          <w:tcPr>
            <w:tcW w:type="dxa" w:w="2570"/>
            <w:vAlign w:val="center"/>
          </w:tcPr>
          <w:p>
            <w:pPr>
              <w:spacing w:after="0"/>
            </w:pPr>
            <w:r/>
            <w:r>
              <w:rPr>
                <w:b w:val="0"/>
                <w:sz w:val="14"/>
              </w:rPr>
              <w:t>Evaluate Impact = High; apply and reverse temporary field behavior.</w:t>
            </w:r>
          </w:p>
        </w:tc>
        <w:tc>
          <w:tcPr>
            <w:tcW w:type="dxa" w:w="2570"/>
            <w:vAlign w:val="center"/>
          </w:tcPr>
          <w:p>
            <w:pPr>
              <w:spacing w:after="0"/>
            </w:pPr>
            <w:r/>
            <w:r>
              <w:rPr>
                <w:b w:val="0"/>
                <w:sz w:val="14"/>
              </w:rPr>
              <w:t>UI state control.</w:t>
            </w:r>
          </w:p>
        </w:tc>
      </w:tr>
      <w:tr>
        <w:tc>
          <w:tcPr>
            <w:tcW w:type="dxa" w:w="2570"/>
            <w:vAlign w:val="center"/>
          </w:tcPr>
          <w:p>
            <w:pPr>
              <w:spacing w:after="0"/>
            </w:pPr>
            <w:r/>
            <w:r>
              <w:rPr>
                <w:b w:val="0"/>
                <w:sz w:val="14"/>
              </w:rPr>
              <w:t>Event logic</w:t>
            </w:r>
          </w:p>
        </w:tc>
        <w:tc>
          <w:tcPr>
            <w:tcW w:type="dxa" w:w="2570"/>
            <w:vAlign w:val="center"/>
          </w:tcPr>
          <w:p>
            <w:pPr>
              <w:spacing w:after="0"/>
            </w:pPr>
            <w:r/>
            <w:r>
              <w:rPr>
                <w:b w:val="0"/>
                <w:sz w:val="14"/>
              </w:rPr>
              <w:t>onChange, onSubmit, onCellEdit</w:t>
            </w:r>
          </w:p>
        </w:tc>
        <w:tc>
          <w:tcPr>
            <w:tcW w:type="dxa" w:w="2570"/>
            <w:vAlign w:val="center"/>
          </w:tcPr>
          <w:p>
            <w:pPr>
              <w:spacing w:after="0"/>
            </w:pPr>
            <w:r/>
            <w:r>
              <w:rPr>
                <w:b w:val="0"/>
                <w:sz w:val="14"/>
              </w:rPr>
              <w:t>Automate Urgency, validate ownership, reject unsafe list edit.</w:t>
            </w:r>
          </w:p>
        </w:tc>
        <w:tc>
          <w:tcPr>
            <w:tcW w:type="dxa" w:w="2570"/>
            <w:vAlign w:val="center"/>
          </w:tcPr>
          <w:p>
            <w:pPr>
              <w:spacing w:after="0"/>
            </w:pPr>
            <w:r/>
            <w:r>
              <w:rPr>
                <w:b w:val="0"/>
                <w:sz w:val="14"/>
              </w:rPr>
              <w:t>Client event processing.</w:t>
            </w:r>
          </w:p>
        </w:tc>
      </w:tr>
      <w:tr>
        <w:tc>
          <w:tcPr>
            <w:tcW w:type="dxa" w:w="2570"/>
            <w:vAlign w:val="center"/>
          </w:tcPr>
          <w:p>
            <w:pPr>
              <w:spacing w:after="0"/>
            </w:pPr>
            <w:r/>
            <w:r>
              <w:rPr>
                <w:b w:val="0"/>
                <w:sz w:val="14"/>
              </w:rPr>
              <w:t>Data</w:t>
            </w:r>
          </w:p>
        </w:tc>
        <w:tc>
          <w:tcPr>
            <w:tcW w:type="dxa" w:w="2570"/>
            <w:vAlign w:val="center"/>
          </w:tcPr>
          <w:p>
            <w:pPr>
              <w:spacing w:after="0"/>
            </w:pPr>
            <w:r/>
            <w:r>
              <w:rPr>
                <w:b w:val="0"/>
                <w:sz w:val="14"/>
              </w:rPr>
              <w:t>Incident table</w:t>
            </w:r>
          </w:p>
        </w:tc>
        <w:tc>
          <w:tcPr>
            <w:tcW w:type="dxa" w:w="2570"/>
            <w:vAlign w:val="center"/>
          </w:tcPr>
          <w:p>
            <w:pPr>
              <w:spacing w:after="0"/>
            </w:pPr>
            <w:r/>
            <w:r>
              <w:rPr>
                <w:b w:val="0"/>
                <w:sz w:val="14"/>
              </w:rPr>
              <w:t>Persist valid Impact, Urgency, group, owner, State, and description.</w:t>
            </w:r>
          </w:p>
        </w:tc>
        <w:tc>
          <w:tcPr>
            <w:tcW w:type="dxa" w:w="2570"/>
            <w:vAlign w:val="center"/>
          </w:tcPr>
          <w:p>
            <w:pPr>
              <w:spacing w:after="0"/>
            </w:pPr>
            <w:r/>
            <w:r>
              <w:rPr>
                <w:b w:val="0"/>
                <w:sz w:val="14"/>
              </w:rPr>
              <w:t>Operational record.</w:t>
            </w:r>
          </w:p>
        </w:tc>
      </w:tr>
      <w:tr>
        <w:tc>
          <w:tcPr>
            <w:tcW w:type="dxa" w:w="2570"/>
            <w:vAlign w:val="center"/>
          </w:tcPr>
          <w:p>
            <w:pPr>
              <w:spacing w:after="0"/>
            </w:pPr>
            <w:r/>
            <w:r>
              <w:rPr>
                <w:b w:val="0"/>
                <w:sz w:val="14"/>
              </w:rPr>
              <w:t>Governance</w:t>
            </w:r>
          </w:p>
        </w:tc>
        <w:tc>
          <w:tcPr>
            <w:tcW w:type="dxa" w:w="2570"/>
            <w:vAlign w:val="center"/>
          </w:tcPr>
          <w:p>
            <w:pPr>
              <w:spacing w:after="0"/>
            </w:pPr>
            <w:r/>
            <w:r>
              <w:rPr>
                <w:b w:val="0"/>
                <w:sz w:val="14"/>
              </w:rPr>
              <w:t>History, reporting, roles, ACLs</w:t>
            </w:r>
          </w:p>
        </w:tc>
        <w:tc>
          <w:tcPr>
            <w:tcW w:type="dxa" w:w="2570"/>
            <w:vAlign w:val="center"/>
          </w:tcPr>
          <w:p>
            <w:pPr>
              <w:spacing w:after="0"/>
            </w:pPr>
            <w:r/>
            <w:r>
              <w:rPr>
                <w:b w:val="0"/>
                <w:sz w:val="14"/>
              </w:rPr>
              <w:t>Support audit, SLA/reporting, and authorization.</w:t>
            </w:r>
          </w:p>
        </w:tc>
        <w:tc>
          <w:tcPr>
            <w:tcW w:type="dxa" w:w="2570"/>
            <w:vAlign w:val="center"/>
          </w:tcPr>
          <w:p>
            <w:pPr>
              <w:spacing w:after="0"/>
            </w:pPr>
            <w:r/>
            <w:r>
              <w:rPr>
                <w:b w:val="0"/>
                <w:sz w:val="14"/>
              </w:rPr>
              <w:t>Platform governance.</w:t>
            </w:r>
          </w:p>
        </w:tc>
      </w:tr>
    </w:tbl>
    <w:p>
      <w:pPr>
        <w:jc w:val="center"/>
      </w:pPr>
      <w:r>
        <w:drawing>
          <wp:inline xmlns:a="http://schemas.openxmlformats.org/drawingml/2006/main" xmlns:pic="http://schemas.openxmlformats.org/drawingml/2006/picture">
            <wp:extent cx="5715000" cy="930519"/>
            <wp:docPr id="2" name="Picture 2"/>
            <wp:cNvGraphicFramePr>
              <a:graphicFrameLocks noChangeAspect="1"/>
            </wp:cNvGraphicFramePr>
            <a:graphic>
              <a:graphicData uri="http://schemas.openxmlformats.org/drawingml/2006/picture">
                <pic:pic>
                  <pic:nvPicPr>
                    <pic:cNvPr id="0" name="incident_dfd.png"/>
                    <pic:cNvPicPr/>
                  </pic:nvPicPr>
                  <pic:blipFill>
                    <a:blip r:embed="rId10"/>
                    <a:stretch>
                      <a:fillRect/>
                    </a:stretch>
                  </pic:blipFill>
                  <pic:spPr>
                    <a:xfrm>
                      <a:off x="0" y="0"/>
                      <a:ext cx="5715000" cy="930519"/>
                    </a:xfrm>
                    <a:prstGeom prst="rect"/>
                  </pic:spPr>
                </pic:pic>
              </a:graphicData>
            </a:graphic>
          </wp:inline>
        </w:drawing>
      </w:r>
    </w:p>
    <w:p>
      <w:pPr>
        <w:jc w:val="center"/>
      </w:pPr>
      <w:r>
        <w:rPr>
          <w:i/>
          <w:sz w:val="16"/>
        </w:rPr>
        <w:t>Generated deterministic data-flow diagram showing valid-save and blocked-action paths.</w:t>
      </w:r>
    </w:p>
    <w:p>
      <w:pPr>
        <w:spacing w:before="180" w:after="80"/>
      </w:pPr>
      <w:r>
        <w:rPr>
          <w:b/>
          <w:color w:val="17365D"/>
          <w:sz w:val="30"/>
        </w:rPr>
        <w:t>3. Data and control flow</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7365D"/>
          </w:tcPr>
          <w:p>
            <w:pPr>
              <w:spacing w:after="0"/>
            </w:pPr>
            <w:r/>
            <w:r>
              <w:rPr>
                <w:b/>
                <w:color w:val="FFFFFF"/>
                <w:sz w:val="16"/>
              </w:rPr>
              <w:t>Flow</w:t>
            </w:r>
          </w:p>
        </w:tc>
        <w:tc>
          <w:tcPr>
            <w:tcW w:type="dxa" w:w="2570"/>
            <w:vAlign w:val="center"/>
            <w:shd w:fill="17365D"/>
          </w:tcPr>
          <w:p>
            <w:pPr>
              <w:spacing w:after="0"/>
            </w:pPr>
            <w:r/>
            <w:r>
              <w:rPr>
                <w:b/>
                <w:color w:val="FFFFFF"/>
                <w:sz w:val="16"/>
              </w:rPr>
              <w:t>Input</w:t>
            </w:r>
          </w:p>
        </w:tc>
        <w:tc>
          <w:tcPr>
            <w:tcW w:type="dxa" w:w="2570"/>
            <w:vAlign w:val="center"/>
            <w:shd w:fill="17365D"/>
          </w:tcPr>
          <w:p>
            <w:pPr>
              <w:spacing w:after="0"/>
            </w:pPr>
            <w:r/>
            <w:r>
              <w:rPr>
                <w:b/>
                <w:color w:val="FFFFFF"/>
                <w:sz w:val="16"/>
              </w:rPr>
              <w:t>Control decision</w:t>
            </w:r>
          </w:p>
        </w:tc>
        <w:tc>
          <w:tcPr>
            <w:tcW w:type="dxa" w:w="2570"/>
            <w:vAlign w:val="center"/>
            <w:shd w:fill="17365D"/>
          </w:tcPr>
          <w:p>
            <w:pPr>
              <w:spacing w:after="0"/>
            </w:pPr>
            <w:r/>
            <w:r>
              <w:rPr>
                <w:b/>
                <w:color w:val="FFFFFF"/>
                <w:sz w:val="16"/>
              </w:rPr>
              <w:t>Output</w:t>
            </w:r>
          </w:p>
        </w:tc>
      </w:tr>
      <w:tr>
        <w:tc>
          <w:tcPr>
            <w:tcW w:type="dxa" w:w="2570"/>
            <w:vAlign w:val="center"/>
          </w:tcPr>
          <w:p>
            <w:pPr>
              <w:spacing w:after="0"/>
            </w:pPr>
            <w:r/>
            <w:r>
              <w:rPr>
                <w:b w:val="0"/>
                <w:sz w:val="14"/>
              </w:rPr>
              <w:t>High-impact form entry</w:t>
            </w:r>
          </w:p>
        </w:tc>
        <w:tc>
          <w:tcPr>
            <w:tcW w:type="dxa" w:w="2570"/>
            <w:vAlign w:val="center"/>
          </w:tcPr>
          <w:p>
            <w:pPr>
              <w:spacing w:after="0"/>
            </w:pPr>
            <w:r/>
            <w:r>
              <w:rPr>
                <w:b w:val="0"/>
                <w:sz w:val="14"/>
              </w:rPr>
              <w:t>Impact = 1</w:t>
            </w:r>
          </w:p>
        </w:tc>
        <w:tc>
          <w:tcPr>
            <w:tcW w:type="dxa" w:w="2570"/>
            <w:vAlign w:val="center"/>
          </w:tcPr>
          <w:p>
            <w:pPr>
              <w:spacing w:after="0"/>
            </w:pPr>
            <w:r/>
            <w:r>
              <w:rPr>
                <w:b w:val="0"/>
                <w:sz w:val="14"/>
              </w:rPr>
              <w:t>UI Policy condition true.</w:t>
            </w:r>
          </w:p>
        </w:tc>
        <w:tc>
          <w:tcPr>
            <w:tcW w:type="dxa" w:w="2570"/>
            <w:vAlign w:val="center"/>
          </w:tcPr>
          <w:p>
            <w:pPr>
              <w:spacing w:after="0"/>
            </w:pPr>
            <w:r/>
            <w:r>
              <w:rPr>
                <w:b w:val="0"/>
                <w:sz w:val="14"/>
              </w:rPr>
              <w:t>Assignment group mandatory; Urgency controlled.</w:t>
            </w:r>
          </w:p>
        </w:tc>
      </w:tr>
      <w:tr>
        <w:tc>
          <w:tcPr>
            <w:tcW w:type="dxa" w:w="2570"/>
            <w:vAlign w:val="center"/>
          </w:tcPr>
          <w:p>
            <w:pPr>
              <w:spacing w:after="0"/>
            </w:pPr>
            <w:r/>
            <w:r>
              <w:rPr>
                <w:b w:val="0"/>
                <w:sz w:val="14"/>
              </w:rPr>
              <w:t>Impact change</w:t>
            </w:r>
          </w:p>
        </w:tc>
        <w:tc>
          <w:tcPr>
            <w:tcW w:type="dxa" w:w="2570"/>
            <w:vAlign w:val="center"/>
          </w:tcPr>
          <w:p>
            <w:pPr>
              <w:spacing w:after="0"/>
            </w:pPr>
            <w:r/>
            <w:r>
              <w:rPr>
                <w:b w:val="0"/>
                <w:sz w:val="14"/>
              </w:rPr>
              <w:t>newValue = 1</w:t>
            </w:r>
          </w:p>
        </w:tc>
        <w:tc>
          <w:tcPr>
            <w:tcW w:type="dxa" w:w="2570"/>
            <w:vAlign w:val="center"/>
          </w:tcPr>
          <w:p>
            <w:pPr>
              <w:spacing w:after="0"/>
            </w:pPr>
            <w:r/>
            <w:r>
              <w:rPr>
                <w:b w:val="0"/>
                <w:sz w:val="14"/>
              </w:rPr>
              <w:t>onChange script checks loading/blank and value.</w:t>
            </w:r>
          </w:p>
        </w:tc>
        <w:tc>
          <w:tcPr>
            <w:tcW w:type="dxa" w:w="2570"/>
            <w:vAlign w:val="center"/>
          </w:tcPr>
          <w:p>
            <w:pPr>
              <w:spacing w:after="0"/>
            </w:pPr>
            <w:r/>
            <w:r>
              <w:rPr>
                <w:b w:val="0"/>
                <w:sz w:val="14"/>
              </w:rPr>
              <w:t>Urgency set to 1; info message.</w:t>
            </w:r>
          </w:p>
        </w:tc>
      </w:tr>
      <w:tr>
        <w:tc>
          <w:tcPr>
            <w:tcW w:type="dxa" w:w="2570"/>
            <w:vAlign w:val="center"/>
          </w:tcPr>
          <w:p>
            <w:pPr>
              <w:spacing w:after="0"/>
            </w:pPr>
            <w:r/>
            <w:r>
              <w:rPr>
                <w:b w:val="0"/>
                <w:sz w:val="14"/>
              </w:rPr>
              <w:t>Form submission</w:t>
            </w:r>
          </w:p>
        </w:tc>
        <w:tc>
          <w:tcPr>
            <w:tcW w:type="dxa" w:w="2570"/>
            <w:vAlign w:val="center"/>
          </w:tcPr>
          <w:p>
            <w:pPr>
              <w:spacing w:after="0"/>
            </w:pPr>
            <w:r/>
            <w:r>
              <w:rPr>
                <w:b w:val="0"/>
                <w:sz w:val="14"/>
              </w:rPr>
              <w:t>Impact + Assigned To</w:t>
            </w:r>
          </w:p>
        </w:tc>
        <w:tc>
          <w:tcPr>
            <w:tcW w:type="dxa" w:w="2570"/>
            <w:vAlign w:val="center"/>
          </w:tcPr>
          <w:p>
            <w:pPr>
              <w:spacing w:after="0"/>
            </w:pPr>
            <w:r/>
            <w:r>
              <w:rPr>
                <w:b w:val="0"/>
                <w:sz w:val="14"/>
              </w:rPr>
              <w:t>onSubmit checks high impact and empty owner.</w:t>
            </w:r>
          </w:p>
        </w:tc>
        <w:tc>
          <w:tcPr>
            <w:tcW w:type="dxa" w:w="2570"/>
            <w:vAlign w:val="center"/>
          </w:tcPr>
          <w:p>
            <w:pPr>
              <w:spacing w:after="0"/>
            </w:pPr>
            <w:r/>
            <w:r>
              <w:rPr>
                <w:b w:val="0"/>
                <w:sz w:val="14"/>
              </w:rPr>
              <w:t>Return false with error or return true.</w:t>
            </w:r>
          </w:p>
        </w:tc>
      </w:tr>
      <w:tr>
        <w:tc>
          <w:tcPr>
            <w:tcW w:type="dxa" w:w="2570"/>
            <w:vAlign w:val="center"/>
          </w:tcPr>
          <w:p>
            <w:pPr>
              <w:spacing w:after="0"/>
            </w:pPr>
            <w:r/>
            <w:r>
              <w:rPr>
                <w:b w:val="0"/>
                <w:sz w:val="14"/>
              </w:rPr>
              <w:t>List State edit</w:t>
            </w:r>
          </w:p>
        </w:tc>
        <w:tc>
          <w:tcPr>
            <w:tcW w:type="dxa" w:w="2570"/>
            <w:vAlign w:val="center"/>
          </w:tcPr>
          <w:p>
            <w:pPr>
              <w:spacing w:after="0"/>
            </w:pPr>
            <w:r/>
            <w:r>
              <w:rPr>
                <w:b w:val="0"/>
                <w:sz w:val="14"/>
              </w:rPr>
              <w:t>sysIDs/table/oldValues/newValue</w:t>
            </w:r>
          </w:p>
        </w:tc>
        <w:tc>
          <w:tcPr>
            <w:tcW w:type="dxa" w:w="2570"/>
            <w:vAlign w:val="center"/>
          </w:tcPr>
          <w:p>
            <w:pPr>
              <w:spacing w:after="0"/>
            </w:pPr>
            <w:r/>
            <w:r>
              <w:rPr>
                <w:b w:val="0"/>
                <w:sz w:val="14"/>
              </w:rPr>
              <w:t>onCellEdit intercepts the edit.</w:t>
            </w:r>
          </w:p>
        </w:tc>
        <w:tc>
          <w:tcPr>
            <w:tcW w:type="dxa" w:w="2570"/>
            <w:vAlign w:val="center"/>
          </w:tcPr>
          <w:p>
            <w:pPr>
              <w:spacing w:after="0"/>
            </w:pPr>
            <w:r/>
            <w:r>
              <w:rPr>
                <w:b w:val="0"/>
                <w:sz w:val="14"/>
              </w:rPr>
              <w:t>Alert and callback(false).</w:t>
            </w:r>
          </w:p>
        </w:tc>
      </w:tr>
      <w:tr>
        <w:tc>
          <w:tcPr>
            <w:tcW w:type="dxa" w:w="2570"/>
            <w:vAlign w:val="center"/>
          </w:tcPr>
          <w:p>
            <w:pPr>
              <w:spacing w:after="0"/>
            </w:pPr>
            <w:r/>
            <w:r>
              <w:rPr>
                <w:b w:val="0"/>
                <w:sz w:val="14"/>
              </w:rPr>
              <w:t>Reverse transition</w:t>
            </w:r>
          </w:p>
        </w:tc>
        <w:tc>
          <w:tcPr>
            <w:tcW w:type="dxa" w:w="2570"/>
            <w:vAlign w:val="center"/>
          </w:tcPr>
          <w:p>
            <w:pPr>
              <w:spacing w:after="0"/>
            </w:pPr>
            <w:r/>
            <w:r>
              <w:rPr>
                <w:b w:val="0"/>
                <w:sz w:val="14"/>
              </w:rPr>
              <w:t>Impact changes away from 1</w:t>
            </w:r>
          </w:p>
        </w:tc>
        <w:tc>
          <w:tcPr>
            <w:tcW w:type="dxa" w:w="2570"/>
            <w:vAlign w:val="center"/>
          </w:tcPr>
          <w:p>
            <w:pPr>
              <w:spacing w:after="0"/>
            </w:pPr>
            <w:r/>
            <w:r>
              <w:rPr>
                <w:b w:val="0"/>
                <w:sz w:val="14"/>
              </w:rPr>
              <w:t>UI Policy reverse-if-false.</w:t>
            </w:r>
          </w:p>
        </w:tc>
        <w:tc>
          <w:tcPr>
            <w:tcW w:type="dxa" w:w="2570"/>
            <w:vAlign w:val="center"/>
          </w:tcPr>
          <w:p>
            <w:pPr>
              <w:spacing w:after="0"/>
            </w:pPr>
            <w:r/>
            <w:r>
              <w:rPr>
                <w:b w:val="0"/>
                <w:sz w:val="14"/>
              </w:rPr>
              <w:t>Temporary actions revert.</w:t>
            </w:r>
          </w:p>
        </w:tc>
      </w:tr>
      <w:tr>
        <w:tc>
          <w:tcPr>
            <w:tcW w:type="dxa" w:w="2570"/>
            <w:vAlign w:val="center"/>
          </w:tcPr>
          <w:p>
            <w:pPr>
              <w:spacing w:after="0"/>
            </w:pPr>
            <w:r/>
            <w:r>
              <w:rPr>
                <w:b w:val="0"/>
                <w:sz w:val="14"/>
              </w:rPr>
              <w:t>Valid update</w:t>
            </w:r>
          </w:p>
        </w:tc>
        <w:tc>
          <w:tcPr>
            <w:tcW w:type="dxa" w:w="2570"/>
            <w:vAlign w:val="center"/>
          </w:tcPr>
          <w:p>
            <w:pPr>
              <w:spacing w:after="0"/>
            </w:pPr>
            <w:r/>
            <w:r>
              <w:rPr>
                <w:b w:val="0"/>
                <w:sz w:val="14"/>
              </w:rPr>
              <w:t>Validated form data</w:t>
            </w:r>
          </w:p>
        </w:tc>
        <w:tc>
          <w:tcPr>
            <w:tcW w:type="dxa" w:w="2570"/>
            <w:vAlign w:val="center"/>
          </w:tcPr>
          <w:p>
            <w:pPr>
              <w:spacing w:after="0"/>
            </w:pPr>
            <w:r/>
            <w:r>
              <w:rPr>
                <w:b w:val="0"/>
                <w:sz w:val="14"/>
              </w:rPr>
              <w:t>Platform saves record.</w:t>
            </w:r>
          </w:p>
        </w:tc>
        <w:tc>
          <w:tcPr>
            <w:tcW w:type="dxa" w:w="2570"/>
            <w:vAlign w:val="center"/>
          </w:tcPr>
          <w:p>
            <w:pPr>
              <w:spacing w:after="0"/>
            </w:pPr>
            <w:r/>
            <w:r>
              <w:rPr>
                <w:b w:val="0"/>
                <w:sz w:val="14"/>
              </w:rPr>
              <w:t>Incident record and history updated.</w:t>
            </w:r>
          </w:p>
        </w:tc>
      </w:tr>
    </w:tbl>
    <w:p>
      <w:pPr>
        <w:spacing w:before="180" w:after="80"/>
      </w:pPr>
      <w:r>
        <w:rPr>
          <w:b/>
          <w:color w:val="17365D"/>
          <w:sz w:val="30"/>
        </w:rPr>
        <w:t>4. Configuration responsibilities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365D"/>
          </w:tcPr>
          <w:p>
            <w:pPr>
              <w:spacing w:after="0"/>
            </w:pPr>
            <w:r/>
            <w:r>
              <w:rPr>
                <w:b/>
                <w:color w:val="FFFFFF"/>
                <w:sz w:val="16"/>
              </w:rPr>
              <w:t>Object</w:t>
            </w:r>
          </w:p>
        </w:tc>
        <w:tc>
          <w:tcPr>
            <w:tcW w:type="dxa" w:w="3427"/>
            <w:vAlign w:val="center"/>
            <w:shd w:fill="17365D"/>
          </w:tcPr>
          <w:p>
            <w:pPr>
              <w:spacing w:after="0"/>
            </w:pPr>
            <w:r/>
            <w:r>
              <w:rPr>
                <w:b/>
                <w:color w:val="FFFFFF"/>
                <w:sz w:val="16"/>
              </w:rPr>
              <w:t>Required configuration</w:t>
            </w:r>
          </w:p>
        </w:tc>
        <w:tc>
          <w:tcPr>
            <w:tcW w:type="dxa" w:w="3427"/>
            <w:vAlign w:val="center"/>
            <w:shd w:fill="17365D"/>
          </w:tcPr>
          <w:p>
            <w:pPr>
              <w:spacing w:after="0"/>
            </w:pPr>
            <w:r/>
            <w:r>
              <w:rPr>
                <w:b/>
                <w:color w:val="FFFFFF"/>
                <w:sz w:val="16"/>
              </w:rPr>
              <w:t>Verification</w:t>
            </w:r>
          </w:p>
        </w:tc>
      </w:tr>
      <w:tr>
        <w:tc>
          <w:tcPr>
            <w:tcW w:type="dxa" w:w="3427"/>
            <w:vAlign w:val="center"/>
          </w:tcPr>
          <w:p>
            <w:pPr>
              <w:spacing w:after="0"/>
            </w:pPr>
            <w:r/>
            <w:r>
              <w:rPr>
                <w:b w:val="0"/>
                <w:sz w:val="14"/>
              </w:rPr>
              <w:t>UI Policy</w:t>
            </w:r>
          </w:p>
        </w:tc>
        <w:tc>
          <w:tcPr>
            <w:tcW w:type="dxa" w:w="3427"/>
            <w:vAlign w:val="center"/>
          </w:tcPr>
          <w:p>
            <w:pPr>
              <w:spacing w:after="0"/>
            </w:pPr>
            <w:r/>
            <w:r>
              <w:rPr>
                <w:b w:val="0"/>
                <w:sz w:val="14"/>
              </w:rPr>
              <w:t>Name High Impact Control; Table Incident; Active; Impact is 1 – High; Reverse if false.</w:t>
            </w:r>
          </w:p>
        </w:tc>
        <w:tc>
          <w:tcPr>
            <w:tcW w:type="dxa" w:w="3427"/>
            <w:vAlign w:val="center"/>
          </w:tcPr>
          <w:p>
            <w:pPr>
              <w:spacing w:after="0"/>
            </w:pPr>
            <w:r/>
            <w:r>
              <w:rPr>
                <w:b w:val="0"/>
                <w:sz w:val="14"/>
              </w:rPr>
              <w:t>Policy activates only under the target condition.</w:t>
            </w:r>
          </w:p>
        </w:tc>
      </w:tr>
      <w:tr>
        <w:tc>
          <w:tcPr>
            <w:tcW w:type="dxa" w:w="3427"/>
            <w:vAlign w:val="center"/>
          </w:tcPr>
          <w:p>
            <w:pPr>
              <w:spacing w:after="0"/>
            </w:pPr>
            <w:r/>
            <w:r>
              <w:rPr>
                <w:b w:val="0"/>
                <w:sz w:val="14"/>
              </w:rPr>
              <w:t>Assignment group action</w:t>
            </w:r>
          </w:p>
        </w:tc>
        <w:tc>
          <w:tcPr>
            <w:tcW w:type="dxa" w:w="3427"/>
            <w:vAlign w:val="center"/>
          </w:tcPr>
          <w:p>
            <w:pPr>
              <w:spacing w:after="0"/>
            </w:pPr>
            <w:r/>
            <w:r>
              <w:rPr>
                <w:b w:val="0"/>
                <w:sz w:val="14"/>
              </w:rPr>
              <w:t>Mandatory = true.</w:t>
            </w:r>
          </w:p>
        </w:tc>
        <w:tc>
          <w:tcPr>
            <w:tcW w:type="dxa" w:w="3427"/>
            <w:vAlign w:val="center"/>
          </w:tcPr>
          <w:p>
            <w:pPr>
              <w:spacing w:after="0"/>
            </w:pPr>
            <w:r/>
            <w:r>
              <w:rPr>
                <w:b w:val="0"/>
                <w:sz w:val="14"/>
              </w:rPr>
              <w:t>Field cannot be left empty when active.</w:t>
            </w:r>
          </w:p>
        </w:tc>
      </w:tr>
      <w:tr>
        <w:tc>
          <w:tcPr>
            <w:tcW w:type="dxa" w:w="3427"/>
            <w:vAlign w:val="center"/>
          </w:tcPr>
          <w:p>
            <w:pPr>
              <w:spacing w:after="0"/>
            </w:pPr>
            <w:r/>
            <w:r>
              <w:rPr>
                <w:b w:val="0"/>
                <w:sz w:val="14"/>
              </w:rPr>
              <w:t>Urgency action</w:t>
            </w:r>
          </w:p>
        </w:tc>
        <w:tc>
          <w:tcPr>
            <w:tcW w:type="dxa" w:w="3427"/>
            <w:vAlign w:val="center"/>
          </w:tcPr>
          <w:p>
            <w:pPr>
              <w:spacing w:after="0"/>
            </w:pPr>
            <w:r/>
            <w:r>
              <w:rPr>
                <w:b w:val="0"/>
                <w:sz w:val="14"/>
              </w:rPr>
              <w:t>Read-only = true; Visible unchanged.</w:t>
            </w:r>
          </w:p>
        </w:tc>
        <w:tc>
          <w:tcPr>
            <w:tcW w:type="dxa" w:w="3427"/>
            <w:vAlign w:val="center"/>
          </w:tcPr>
          <w:p>
            <w:pPr>
              <w:spacing w:after="0"/>
            </w:pPr>
            <w:r/>
            <w:r>
              <w:rPr>
                <w:b w:val="0"/>
                <w:sz w:val="14"/>
              </w:rPr>
              <w:t>Urgency visible but controlled.</w:t>
            </w:r>
          </w:p>
        </w:tc>
      </w:tr>
      <w:tr>
        <w:tc>
          <w:tcPr>
            <w:tcW w:type="dxa" w:w="3427"/>
            <w:vAlign w:val="center"/>
          </w:tcPr>
          <w:p>
            <w:pPr>
              <w:spacing w:after="0"/>
            </w:pPr>
            <w:r/>
            <w:r>
              <w:rPr>
                <w:b w:val="0"/>
                <w:sz w:val="14"/>
              </w:rPr>
              <w:t>onChange script</w:t>
            </w:r>
          </w:p>
        </w:tc>
        <w:tc>
          <w:tcPr>
            <w:tcW w:type="dxa" w:w="3427"/>
            <w:vAlign w:val="center"/>
          </w:tcPr>
          <w:p>
            <w:pPr>
              <w:spacing w:after="0"/>
            </w:pPr>
            <w:r/>
            <w:r>
              <w:rPr>
                <w:b w:val="0"/>
                <w:sz w:val="14"/>
              </w:rPr>
              <w:t>Table Incident; Type onChange; Field Impact; Active.</w:t>
            </w:r>
          </w:p>
        </w:tc>
        <w:tc>
          <w:tcPr>
            <w:tcW w:type="dxa" w:w="3427"/>
            <w:vAlign w:val="center"/>
          </w:tcPr>
          <w:p>
            <w:pPr>
              <w:spacing w:after="0"/>
            </w:pPr>
            <w:r/>
            <w:r>
              <w:rPr>
                <w:b w:val="0"/>
                <w:sz w:val="14"/>
              </w:rPr>
              <w:t>Urgency updates on Impact change.</w:t>
            </w:r>
          </w:p>
        </w:tc>
      </w:tr>
      <w:tr>
        <w:tc>
          <w:tcPr>
            <w:tcW w:type="dxa" w:w="3427"/>
            <w:vAlign w:val="center"/>
          </w:tcPr>
          <w:p>
            <w:pPr>
              <w:spacing w:after="0"/>
            </w:pPr>
            <w:r/>
            <w:r>
              <w:rPr>
                <w:b w:val="0"/>
                <w:sz w:val="14"/>
              </w:rPr>
              <w:t>onSubmit script</w:t>
            </w:r>
          </w:p>
        </w:tc>
        <w:tc>
          <w:tcPr>
            <w:tcW w:type="dxa" w:w="3427"/>
            <w:vAlign w:val="center"/>
          </w:tcPr>
          <w:p>
            <w:pPr>
              <w:spacing w:after="0"/>
            </w:pPr>
            <w:r/>
            <w:r>
              <w:rPr>
                <w:b w:val="0"/>
                <w:sz w:val="14"/>
              </w:rPr>
              <w:t>Table Incident; Type onSubmit; Active.</w:t>
            </w:r>
          </w:p>
        </w:tc>
        <w:tc>
          <w:tcPr>
            <w:tcW w:type="dxa" w:w="3427"/>
            <w:vAlign w:val="center"/>
          </w:tcPr>
          <w:p>
            <w:pPr>
              <w:spacing w:after="0"/>
            </w:pPr>
            <w:r/>
            <w:r>
              <w:rPr>
                <w:b w:val="0"/>
                <w:sz w:val="14"/>
              </w:rPr>
              <w:t>Invalid save is blocked.</w:t>
            </w:r>
          </w:p>
        </w:tc>
      </w:tr>
      <w:tr>
        <w:tc>
          <w:tcPr>
            <w:tcW w:type="dxa" w:w="3427"/>
            <w:vAlign w:val="center"/>
          </w:tcPr>
          <w:p>
            <w:pPr>
              <w:spacing w:after="0"/>
            </w:pPr>
            <w:r/>
            <w:r>
              <w:rPr>
                <w:b w:val="0"/>
                <w:sz w:val="14"/>
              </w:rPr>
              <w:t>onCellEdit script</w:t>
            </w:r>
          </w:p>
        </w:tc>
        <w:tc>
          <w:tcPr>
            <w:tcW w:type="dxa" w:w="3427"/>
            <w:vAlign w:val="center"/>
          </w:tcPr>
          <w:p>
            <w:pPr>
              <w:spacing w:after="0"/>
            </w:pPr>
            <w:r/>
            <w:r>
              <w:rPr>
                <w:b w:val="0"/>
                <w:sz w:val="14"/>
              </w:rPr>
              <w:t>Table Incident; Type onCellEdit; Field State; Active.</w:t>
            </w:r>
          </w:p>
        </w:tc>
        <w:tc>
          <w:tcPr>
            <w:tcW w:type="dxa" w:w="3427"/>
            <w:vAlign w:val="center"/>
          </w:tcPr>
          <w:p>
            <w:pPr>
              <w:spacing w:after="0"/>
            </w:pPr>
            <w:r/>
            <w:r>
              <w:rPr>
                <w:b w:val="0"/>
                <w:sz w:val="14"/>
              </w:rPr>
              <w:t>List edit is rejected.</w:t>
            </w:r>
          </w:p>
        </w:tc>
      </w:tr>
    </w:tbl>
    <w:p>
      <w:pPr>
        <w:jc w:val="center"/>
      </w:pPr>
      <w:r>
        <w:drawing>
          <wp:inline xmlns:a="http://schemas.openxmlformats.org/drawingml/2006/main" xmlns:pic="http://schemas.openxmlformats.org/drawingml/2006/picture">
            <wp:extent cx="5623560" cy="4217670"/>
            <wp:docPr id="3" name="Picture 3"/>
            <wp:cNvGraphicFramePr>
              <a:graphicFrameLocks noChangeAspect="1"/>
            </wp:cNvGraphicFramePr>
            <a:graphic>
              <a:graphicData uri="http://schemas.openxmlformats.org/drawingml/2006/picture">
                <pic:pic>
                  <pic:nvPicPr>
                    <pic:cNvPr id="0" name="phase3_incident_new_test_evidence.png"/>
                    <pic:cNvPicPr/>
                  </pic:nvPicPr>
                  <pic:blipFill>
                    <a:blip r:embed="rId11"/>
                    <a:stretch>
                      <a:fillRect/>
                    </a:stretch>
                  </pic:blipFill>
                  <pic:spPr>
                    <a:xfrm>
                      <a:off x="0" y="0"/>
                      <a:ext cx="5623560" cy="4217670"/>
                    </a:xfrm>
                    <a:prstGeom prst="rect"/>
                  </pic:spPr>
                </pic:pic>
              </a:graphicData>
            </a:graphic>
          </wp:inline>
        </w:drawing>
      </w:r>
    </w:p>
    <w:p>
      <w:pPr>
        <w:jc w:val="center"/>
      </w:pPr>
      <w:r>
        <w:rPr>
          <w:i/>
          <w:sz w:val="16"/>
        </w:rPr>
        <w:t>Generated project visual: new test-evidence view for architecture verification.</w:t>
      </w:r>
    </w:p>
    <w:p>
      <w:pPr>
        <w:spacing w:before="180" w:after="80"/>
      </w:pPr>
      <w:r>
        <w:rPr>
          <w:b/>
          <w:color w:val="17365D"/>
          <w:sz w:val="30"/>
        </w:rPr>
        <w:t>5. Sequence of a high-impact save</w:t>
      </w:r>
    </w:p>
    <w:p>
      <w:r>
        <w:t>1. Agent opens Incident and selects Impact = High.</w:t>
      </w:r>
    </w:p>
    <w:p>
      <w:r>
        <w:t>2. UI Policy condition evaluates true.</w:t>
      </w:r>
    </w:p>
    <w:p>
      <w:r>
        <w:t>3. Assignment group becomes mandatory and Urgency becomes read-only.</w:t>
      </w:r>
    </w:p>
    <w:p>
      <w:r>
        <w:t>4. onChange sets Urgency to High and explains the update.</w:t>
      </w:r>
    </w:p>
    <w:p>
      <w:r>
        <w:t>5. Agent submits; onSubmit checks Impact and Assigned To.</w:t>
      </w:r>
    </w:p>
    <w:p>
      <w:r>
        <w:t>6. If Assigned To is empty, showErrorBox returns false and no save occurs.</w:t>
      </w:r>
    </w:p>
    <w:p>
      <w:r>
        <w:t>7. If the record is complete, the platform saves the Incident and native history is updated.</w:t>
      </w:r>
    </w:p>
    <w:p>
      <w:pPr>
        <w:spacing w:before="180" w:after="80"/>
      </w:pPr>
      <w:r>
        <w:rPr>
          <w:b/>
          <w:color w:val="17365D"/>
          <w:sz w:val="30"/>
        </w:rPr>
        <w:t>6. Security and operational boundaries</w:t>
      </w:r>
    </w:p>
    <w:p>
      <w:pPr>
        <w:spacing w:after="40"/>
        <w:ind w:left="360" w:hanging="245"/>
      </w:pPr>
      <w:r>
        <w:t>• Client-side scripts can be bypassed by integrations; add server-side equivalents if external writes must be governed.</w:t>
      </w:r>
    </w:p>
    <w:p>
      <w:pPr>
        <w:spacing w:after="40"/>
        <w:ind w:left="360" w:hanging="245"/>
      </w:pPr>
      <w:r>
        <w:t>• Do not treat the UI Policy as an authorization control.</w:t>
      </w:r>
    </w:p>
    <w:p>
      <w:pPr>
        <w:spacing w:after="40"/>
        <w:ind w:left="360" w:hanging="245"/>
      </w:pPr>
      <w:r>
        <w:t>• Use test data and authorized roles in non-production environments.</w:t>
      </w:r>
    </w:p>
    <w:p>
      <w:pPr>
        <w:spacing w:after="40"/>
        <w:ind w:left="360" w:hanging="245"/>
      </w:pPr>
      <w:r>
        <w:t>• Document field names and choice values because script behavior depends on them.</w:t>
      </w:r>
    </w:p>
    <w:p>
      <w:pPr>
        <w:spacing w:after="40"/>
        <w:ind w:left="360" w:hanging="245"/>
      </w:pPr>
      <w:r>
        <w:t>• Keep user messages actionable and avoid exposing sensitive data.</w:t>
      </w:r>
    </w:p>
    <w:p>
      <w:pPr>
        <w:spacing w:before="180" w:after="80"/>
      </w:pPr>
      <w:r>
        <w:rPr>
          <w:b/>
          <w:color w:val="17365D"/>
          <w:sz w:val="30"/>
        </w:rPr>
        <w:t>7. Verification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365D"/>
          </w:tcPr>
          <w:p>
            <w:pPr>
              <w:spacing w:after="0"/>
            </w:pPr>
            <w:r/>
            <w:r>
              <w:rPr>
                <w:b/>
                <w:color w:val="FFFFFF"/>
                <w:sz w:val="16"/>
              </w:rPr>
              <w:t>Verification area</w:t>
            </w:r>
          </w:p>
        </w:tc>
        <w:tc>
          <w:tcPr>
            <w:tcW w:type="dxa" w:w="5141"/>
            <w:vAlign w:val="center"/>
            <w:shd w:fill="17365D"/>
          </w:tcPr>
          <w:p>
            <w:pPr>
              <w:spacing w:after="0"/>
            </w:pPr>
            <w:r/>
            <w:r>
              <w:rPr>
                <w:b/>
                <w:color w:val="FFFFFF"/>
                <w:sz w:val="16"/>
              </w:rPr>
              <w:t>Test</w:t>
            </w:r>
          </w:p>
        </w:tc>
      </w:tr>
      <w:tr>
        <w:tc>
          <w:tcPr>
            <w:tcW w:type="dxa" w:w="5141"/>
            <w:vAlign w:val="center"/>
          </w:tcPr>
          <w:p>
            <w:pPr>
              <w:spacing w:after="0"/>
            </w:pPr>
            <w:r/>
            <w:r>
              <w:rPr>
                <w:b w:val="0"/>
                <w:sz w:val="14"/>
              </w:rPr>
              <w:t>Policy activation</w:t>
            </w:r>
          </w:p>
        </w:tc>
        <w:tc>
          <w:tcPr>
            <w:tcW w:type="dxa" w:w="5141"/>
            <w:vAlign w:val="center"/>
          </w:tcPr>
          <w:p>
            <w:pPr>
              <w:spacing w:after="0"/>
            </w:pPr>
            <w:r/>
            <w:r>
              <w:rPr>
                <w:b w:val="0"/>
                <w:sz w:val="14"/>
              </w:rPr>
              <w:t>Set Impact High; inspect mandatory/read-only states.</w:t>
            </w:r>
          </w:p>
        </w:tc>
      </w:tr>
      <w:tr>
        <w:tc>
          <w:tcPr>
            <w:tcW w:type="dxa" w:w="5141"/>
            <w:vAlign w:val="center"/>
          </w:tcPr>
          <w:p>
            <w:pPr>
              <w:spacing w:after="0"/>
            </w:pPr>
            <w:r/>
            <w:r>
              <w:rPr>
                <w:b w:val="0"/>
                <w:sz w:val="14"/>
              </w:rPr>
              <w:t>Automation</w:t>
            </w:r>
          </w:p>
        </w:tc>
        <w:tc>
          <w:tcPr>
            <w:tcW w:type="dxa" w:w="5141"/>
            <w:vAlign w:val="center"/>
          </w:tcPr>
          <w:p>
            <w:pPr>
              <w:spacing w:after="0"/>
            </w:pPr>
            <w:r/>
            <w:r>
              <w:rPr>
                <w:b w:val="0"/>
                <w:sz w:val="14"/>
              </w:rPr>
              <w:t>Change Impact to High; confirm Urgency and info message.</w:t>
            </w:r>
          </w:p>
        </w:tc>
      </w:tr>
      <w:tr>
        <w:tc>
          <w:tcPr>
            <w:tcW w:type="dxa" w:w="5141"/>
            <w:vAlign w:val="center"/>
          </w:tcPr>
          <w:p>
            <w:pPr>
              <w:spacing w:after="0"/>
            </w:pPr>
            <w:r/>
            <w:r>
              <w:rPr>
                <w:b w:val="0"/>
                <w:sz w:val="14"/>
              </w:rPr>
              <w:t>Negative save</w:t>
            </w:r>
          </w:p>
        </w:tc>
        <w:tc>
          <w:tcPr>
            <w:tcW w:type="dxa" w:w="5141"/>
            <w:vAlign w:val="center"/>
          </w:tcPr>
          <w:p>
            <w:pPr>
              <w:spacing w:after="0"/>
            </w:pPr>
            <w:r/>
            <w:r>
              <w:rPr>
                <w:b w:val="0"/>
                <w:sz w:val="14"/>
              </w:rPr>
              <w:t>High impact + empty Assigned To; confirm save blocked.</w:t>
            </w:r>
          </w:p>
        </w:tc>
      </w:tr>
      <w:tr>
        <w:tc>
          <w:tcPr>
            <w:tcW w:type="dxa" w:w="5141"/>
            <w:vAlign w:val="center"/>
          </w:tcPr>
          <w:p>
            <w:pPr>
              <w:spacing w:after="0"/>
            </w:pPr>
            <w:r/>
            <w:r>
              <w:rPr>
                <w:b w:val="0"/>
                <w:sz w:val="14"/>
              </w:rPr>
              <w:t>Positive save</w:t>
            </w:r>
          </w:p>
        </w:tc>
        <w:tc>
          <w:tcPr>
            <w:tcW w:type="dxa" w:w="5141"/>
            <w:vAlign w:val="center"/>
          </w:tcPr>
          <w:p>
            <w:pPr>
              <w:spacing w:after="0"/>
            </w:pPr>
            <w:r/>
            <w:r>
              <w:rPr>
                <w:b w:val="0"/>
                <w:sz w:val="14"/>
              </w:rPr>
              <w:t>High impact + Assigned To; confirm save succeeds.</w:t>
            </w:r>
          </w:p>
        </w:tc>
      </w:tr>
      <w:tr>
        <w:tc>
          <w:tcPr>
            <w:tcW w:type="dxa" w:w="5141"/>
            <w:vAlign w:val="center"/>
          </w:tcPr>
          <w:p>
            <w:pPr>
              <w:spacing w:after="0"/>
            </w:pPr>
            <w:r/>
            <w:r>
              <w:rPr>
                <w:b w:val="0"/>
                <w:sz w:val="14"/>
              </w:rPr>
              <w:t>Reversal</w:t>
            </w:r>
          </w:p>
        </w:tc>
        <w:tc>
          <w:tcPr>
            <w:tcW w:type="dxa" w:w="5141"/>
            <w:vAlign w:val="center"/>
          </w:tcPr>
          <w:p>
            <w:pPr>
              <w:spacing w:after="0"/>
            </w:pPr>
            <w:r/>
            <w:r>
              <w:rPr>
                <w:b w:val="0"/>
                <w:sz w:val="14"/>
              </w:rPr>
              <w:t>Change High to Medium; confirm normal behavior.</w:t>
            </w:r>
          </w:p>
        </w:tc>
      </w:tr>
      <w:tr>
        <w:tc>
          <w:tcPr>
            <w:tcW w:type="dxa" w:w="5141"/>
            <w:vAlign w:val="center"/>
          </w:tcPr>
          <w:p>
            <w:pPr>
              <w:spacing w:after="0"/>
            </w:pPr>
            <w:r/>
            <w:r>
              <w:rPr>
                <w:b w:val="0"/>
                <w:sz w:val="14"/>
              </w:rPr>
              <w:t>List protection</w:t>
            </w:r>
          </w:p>
        </w:tc>
        <w:tc>
          <w:tcPr>
            <w:tcW w:type="dxa" w:w="5141"/>
            <w:vAlign w:val="center"/>
          </w:tcPr>
          <w:p>
            <w:pPr>
              <w:spacing w:after="0"/>
            </w:pPr>
            <w:r/>
            <w:r>
              <w:rPr>
                <w:b w:val="0"/>
                <w:sz w:val="14"/>
              </w:rPr>
              <w:t>Attempt State list edit; confirm value unchanged.</w:t>
            </w:r>
          </w:p>
        </w:tc>
      </w:tr>
      <w:tr>
        <w:tc>
          <w:tcPr>
            <w:tcW w:type="dxa" w:w="5141"/>
            <w:vAlign w:val="center"/>
          </w:tcPr>
          <w:p>
            <w:pPr>
              <w:spacing w:after="0"/>
            </w:pPr>
            <w:r/>
            <w:r>
              <w:rPr>
                <w:b w:val="0"/>
                <w:sz w:val="14"/>
              </w:rPr>
              <w:t>Form update</w:t>
            </w:r>
          </w:p>
        </w:tc>
        <w:tc>
          <w:tcPr>
            <w:tcW w:type="dxa" w:w="5141"/>
            <w:vAlign w:val="center"/>
          </w:tcPr>
          <w:p>
            <w:pPr>
              <w:spacing w:after="0"/>
            </w:pPr>
            <w:r/>
            <w:r>
              <w:rPr>
                <w:b w:val="0"/>
                <w:sz w:val="14"/>
              </w:rPr>
              <w:t>Change State through form; confirm valid update.</w:t>
            </w:r>
          </w:p>
        </w:tc>
      </w:tr>
    </w:tbl>
    <w:p>
      <w:pPr>
        <w:spacing w:before="180" w:after="80"/>
      </w:pPr>
      <w:r>
        <w:rPr>
          <w:b/>
          <w:color w:val="17365D"/>
          <w:sz w:val="30"/>
        </w:rPr>
        <w:t>8. Architecture conclusion</w:t>
      </w:r>
    </w:p>
    <w:p>
      <w:r>
        <w:t>The architecture is intentionally platform-native and layered. The Incident experience supplies the touchpoint, UI Policy supplies conditional state, Client Scripts supply event behavior, the Incident table supplies the record, and ServiceNow governance supplies audit and authorization. This separation keeps the solution explainable and maintainable.</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