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Planning Logic — Incident UI Policy &amp; Client Script Project</w:t>
      </w:r>
    </w:p>
    <w:p>
      <w:pPr>
        <w:jc w:val="center"/>
      </w:pPr>
      <w:r>
        <w:rPr>
          <w:b/>
          <w:color w:val="0F9D9A"/>
        </w:rPr>
        <w:t>Implement Client Script &amp; UI Policy (Incident)</w:t>
      </w:r>
    </w:p>
    <w:p>
      <w:pPr>
        <w:jc w:val="center"/>
      </w:pPr>
      <w:r>
        <w:rPr>
          <w:i/>
        </w:rPr>
        <w:t>Date: 01 October 2026 | Team ID: SWTID-2026-4755</w:t>
      </w:r>
    </w:p>
    <w:p>
      <w:r>
        <w:t>This plan breaks the micro-project into small, testable stories so that each ServiceNow control can be configured, verified, and documented without losing sight of the agent experience.</w:t>
      </w:r>
    </w:p>
    <w:p>
      <w:pPr>
        <w:pStyle w:val="Heading1"/>
        <w:spacing w:before="140" w:after="60"/>
      </w:pPr>
      <w:r>
        <w:rPr>
          <w:b/>
          <w:color w:val="17365D"/>
          <w:sz w:val="28"/>
        </w:rPr>
        <w:t>Planning assumptions</w:t>
      </w:r>
    </w:p>
    <w:p>
      <w:pPr>
        <w:spacing w:after="20"/>
        <w:ind w:left="317" w:hanging="230"/>
      </w:pPr>
      <w:r>
        <w:t>• One small delivery team with ServiceNow configuration access.</w:t>
      </w:r>
    </w:p>
    <w:p>
      <w:pPr>
        <w:spacing w:after="20"/>
        <w:ind w:left="317" w:hanging="230"/>
      </w:pPr>
      <w:r>
        <w:t>• Two six-day sprints with 32 planned story points in total.</w:t>
      </w:r>
    </w:p>
    <w:p>
      <w:pPr>
        <w:spacing w:after="20"/>
        <w:ind w:left="317" w:hanging="230"/>
      </w:pPr>
      <w:r>
        <w:t>• A story is considered complete only when the configuration is saved and the related test scenario passes.</w:t>
      </w:r>
    </w:p>
    <w:p>
      <w:pPr>
        <w:spacing w:after="20"/>
        <w:ind w:left="317" w:hanging="230"/>
      </w:pPr>
      <w:r>
        <w:t>• Client-side controls improve usability and consistency; platform roles and ACLs remain the security boundary.</w:t>
      </w:r>
    </w:p>
    <w:p>
      <w:pPr>
        <w:pStyle w:val="Heading1"/>
        <w:spacing w:before="140" w:after="60"/>
      </w:pPr>
      <w:r>
        <w:rPr>
          <w:b/>
          <w:color w:val="17365D"/>
          <w:sz w:val="28"/>
        </w:rPr>
        <w:t>Sprint 1 — Foundation and high-impact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Story</w:t>
            </w:r>
          </w:p>
        </w:tc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Outcome</w:t>
            </w:r>
          </w:p>
        </w:tc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Points</w:t>
            </w:r>
          </w:p>
        </w:tc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Definition of done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Incident policy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USN-1: Create High Impact Control UI Policy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Impact = 1 – High activates the policy.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Condition, active flag, reverse-if-false, and table are verified.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Incident policy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USN-2: Make Assignment group mandatory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High-impact records require a routing group.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UI Policy Action is mandatory and reverses when Impact changes.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Urgency automation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USN-3: Auto-set Urgency on change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Urgency becomes High when Impact becomes High.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onChange script sets urgency and shows the info message.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Save validation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USN-4: Require Assigned To on submit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Incomplete high-impact records cannot save.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onSubmit shows the field error and returns false.</w:t>
            </w:r>
          </w:p>
        </w:tc>
      </w:tr>
    </w:tbl>
    <w:p>
      <w:pPr>
        <w:pStyle w:val="Heading1"/>
        <w:spacing w:before="140" w:after="60"/>
      </w:pPr>
      <w:r>
        <w:rPr>
          <w:b/>
          <w:color w:val="17365D"/>
          <w:sz w:val="28"/>
        </w:rPr>
        <w:t>Sprint 2 — Workflow safety, testing, and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Story</w:t>
            </w:r>
          </w:p>
        </w:tc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Outcome</w:t>
            </w:r>
          </w:p>
        </w:tc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Points</w:t>
            </w:r>
          </w:p>
        </w:tc>
        <w:tc>
          <w:tcPr>
            <w:tcW w:type="dxa" w:w="2045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Definition of done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Workflow safety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USN-5: Block State list editing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State cannot be changed directly in a list.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onCellEdit alerts the user and calls callback(false).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Verification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USN-6: Test mandatory enforcement and success path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Blocked save and valid save are both confirmed.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Test evidence records expected UI behavior.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Verification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USN-7: Test reverse condition and form update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Temporary controls reverse; form updates remain allowed.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Impact change and form-based State update pass.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Documentation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USN-8: Package configuration and handoff notes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Admins can understand and maintain the solution.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Names, messages, scripts, test checklist, and conclusion are documented.</w:t>
            </w:r>
          </w:p>
        </w:tc>
      </w:tr>
    </w:tbl>
    <w:p>
      <w:pPr>
        <w:pStyle w:val="Heading1"/>
        <w:spacing w:before="140" w:after="60"/>
      </w:pPr>
      <w:r>
        <w:rPr>
          <w:b/>
          <w:color w:val="17365D"/>
          <w:sz w:val="28"/>
        </w:rPr>
        <w:t>Velocity and completion logic</w:t>
      </w:r>
    </w:p>
    <w:p>
      <w:r>
        <w:t>Planned points = 16 in Sprint 1 + 16 in Sprint 2 = 32 points. Planned velocity = 32 / 2 = 16 story points per sprint. The burndown chart is a planned reference line, not a claim about actual completed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6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sprint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project visual: Incident sprint roadmap for 32 planned story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27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story_point_allo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2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project visual: precise Incident backlog story-point allocation.</w:t>
      </w:r>
    </w:p>
    <w:p>
      <w:pPr>
        <w:pStyle w:val="Heading1"/>
        <w:spacing w:before="140" w:after="60"/>
      </w:pPr>
      <w:r>
        <w:rPr>
          <w:b/>
          <w:color w:val="17365D"/>
          <w:sz w:val="28"/>
        </w:rPr>
        <w:t>Risks and responses</w:t>
      </w:r>
    </w:p>
    <w:p>
      <w:pPr>
        <w:spacing w:after="20"/>
        <w:ind w:left="317" w:hanging="230"/>
      </w:pPr>
      <w:r>
        <w:t>• Risk: client-side validation is treated as a security control. Response: retain ACLs and server-side policies as the authorization boundary.</w:t>
      </w:r>
    </w:p>
    <w:p>
      <w:pPr>
        <w:spacing w:after="20"/>
        <w:ind w:left="317" w:hanging="230"/>
      </w:pPr>
      <w:r>
        <w:t>• Risk: high-impact rules frustrate agents. Response: use clear messages, only activate controls when Impact is High, and reverse them when false.</w:t>
      </w:r>
    </w:p>
    <w:p>
      <w:pPr>
        <w:spacing w:after="20"/>
        <w:ind w:left="317" w:hanging="230"/>
      </w:pPr>
      <w:r>
        <w:t>• Risk: behavior is tested only on new records. Response: include existing-record, reverse-condition, list-edit, and form-update tests.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