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Development Phase</w:t>
      </w:r>
    </w:p>
    <w:p>
      <w:pPr>
        <w:jc w:val="center"/>
      </w:pPr>
      <w:r>
        <w:rPr>
          <w:b/>
          <w:color w:val="2F75B5"/>
          <w:sz w:val="28"/>
        </w:rPr>
        <w:t>Performance Test Report – Tableau-Style Template</w:t>
      </w:r>
    </w:p>
    <w:p>
      <w:pPr>
        <w:jc w:val="center"/>
      </w:pPr>
      <w:r>
        <w:rPr>
          <w:b/>
          <w:sz w:val="22"/>
        </w:rPr>
        <w:t>Implement Client Script &amp; UI Policy (Incident)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October 2026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SWTID-2026-4755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Marks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1. Project-specific test context</w:t>
      </w:r>
    </w:p>
    <w:p>
      <w:pPr>
        <w:spacing w:after="100" w:line="259" w:lineRule="auto"/>
      </w:pPr>
      <w:r>
        <w:t>Measure the form/list rendering and client-side control behavior under representative Incident record volumes. The Tableau reference is treated only as a report structure; this project has no Tableau dependency.</w:t>
      </w:r>
    </w:p>
    <w:p>
      <w:pPr>
        <w:spacing w:after="100" w:line="259" w:lineRule="auto"/>
      </w:pPr>
      <w:r>
        <w:t>The project uses a ServiceNow Incident form and list with one High Impact Control UI Policy and three Client Scripts. The test focus below adapts the ZIP reference report type to the Incident project; it does not claim that a live execution was completed during report preparation.</w:t>
      </w:r>
    </w:p>
    <w:p>
      <w:pPr>
        <w:spacing w:before="160" w:after="80"/>
      </w:pPr>
      <w:r>
        <w:rPr>
          <w:b/>
          <w:color w:val="17365D"/>
          <w:sz w:val="30"/>
        </w:rPr>
        <w:t>2. Project metrics / equivalent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Project-specific values / evidence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rendered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records with Impact, Urgency, Assignment group, Assigned To, and State fields.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preparation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repeatable Incident fixtures with low, medium, and high Impact values plus assigned and unassigned records.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Filter / control use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Compare visual field behavior with actual policy and script enforcement; UI filtering must not be mistaken for validation.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3. Test scenarios and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TAB-PT01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Incident form/list at small, medium, and large record sets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 list and form with representative fixtures; record p50/p95 response.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Records load and intended controls remain responsive.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TAB-PT02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High-impact control activation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 Impact = High and inspect Assignment group and Urgency.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Mandatory/read-only states appear without unnecessary delay.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TAB-PT03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Client-side control overhead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Compare baseline form open with controls active.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 rules remain lightweight and do not create repeated actions.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16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contr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1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Original project-specific visual created for this Incident report.</w:t>
      </w:r>
    </w:p>
    <w:p>
      <w:pPr>
        <w:spacing w:before="160" w:after="80"/>
      </w:pPr>
      <w:r>
        <w:rPr>
          <w:b/>
          <w:color w:val="17365D"/>
          <w:sz w:val="30"/>
        </w:rPr>
        <w:t>4. Interpretation and evidence note</w:t>
      </w:r>
    </w:p>
    <w:p>
      <w:pPr>
        <w:spacing w:after="100" w:line="259" w:lineRule="auto"/>
      </w:pPr>
      <w:r>
        <w:t>Performance evidence should record dataset size, browser, timestamp, p50/p95 response, error count, and whether the expected field state was reached.</w:t>
      </w:r>
    </w:p>
    <w:p>
      <w:pPr>
        <w:spacing w:before="160" w:after="80"/>
      </w:pPr>
      <w:r>
        <w:rPr>
          <w:b/>
          <w:color w:val="17365D"/>
          <w:sz w:val="30"/>
        </w:rPr>
        <w:t>5. Execution status</w:t>
      </w:r>
    </w:p>
    <w:p>
      <w:pPr>
        <w:spacing w:after="100" w:line="259" w:lineRule="auto"/>
      </w:pPr>
      <w:r>
        <w:t>Status at report preparation: Pending execution in the target ServiceNow instance. The source project PDF defines the configuration and expected behavior, but does not include live screenshots, response-time logs, or execution timestamps. Record those artifacts against each test case before final sign-off.</w:t>
      </w:r>
    </w:p>
    <w:p>
      <w:pPr>
        <w:spacing w:before="160" w:after="80"/>
      </w:pPr>
      <w:r>
        <w:rPr>
          <w:b/>
          <w:color w:val="17365D"/>
          <w:sz w:val="30"/>
        </w:rPr>
        <w:t>6. Conclusion</w:t>
      </w:r>
    </w:p>
    <w:p>
      <w:pPr>
        <w:spacing w:after="100" w:line="259" w:lineRule="auto"/>
      </w:pPr>
      <w:r>
        <w:t>This report provides a project-specific Phase 5 testing baseline for Implement Client Script &amp; UI Policy (Incident). The selected scenarios verify conditional field behavior, urgency automation, save-time validation, list-edit protection, and form-based updates while preserving the traceability expected in the supplied reference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SWTID-2026-4755  |  Phase 5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F75B5"/>
        <w:sz w:val="16"/>
      </w:rPr>
      <w:t>PROJECT DEVELOPMENT PHASE  |  PERFORMANCE TEST REPORT – TABLEAU-STYLE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 Report – Tableau-Style Template – Implement Client Script &amp; UI Policy (Incident)</dc:title>
  <dc:subject/>
  <dc:creator>Team SWTID-2026-4755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