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Exploratory Data Analysis (EDA) Summary </w:t>
      </w:r>
      <w:r>
        <w:rPr>
          <w:rFonts w:ascii="Arial" w:cs="Arial" w:eastAsia="Arial" w:hAnsi="Arial"/>
          <w:b/>
          <w:bCs/>
          <w:sz w:val="32"/>
          <w:szCs w:val="32"/>
        </w:rPr>
        <w:br/>
        <w:t xml:space="preserve">Report Template</w:t>
      </w:r>
    </w:p>
    <w:p>
      <w:r>
        <w:rPr>
          <w:rFonts w:ascii="Arial" w:cs="Arial" w:eastAsia="Arial" w:hAnsi="Arial"/>
        </w:rPr>
        <w:t xml:space="preserve"/>
      </w:r>
    </w:p>
    <w:p>
      <w:pPr>
        <w:spacing w:after="0" w:before="480"/>
      </w:pPr>
      <w:r>
        <w:rPr>
          <w:rFonts w:ascii="Arial" w:cs="Arial" w:eastAsia="Arial" w:hAnsi="Arial"/>
          <w:b/>
          <w:bCs/>
          <w:color w:val="000000"/>
          <w:sz w:val="28"/>
          <w:szCs w:val="28"/>
        </w:rPr>
        <w:t xml:space="preserve">1. Introduction</w:t>
      </w:r>
    </w:p>
    <w:p>
      <w:r>
        <w:rPr>
          <w:rFonts w:ascii="Arial" w:cs="Arial" w:eastAsia="Arial" w:hAnsi="Arial"/>
          <w:sz w:val="22"/>
          <w:szCs w:val="22"/>
        </w:rPr>
        <w:t xml:space="preserve">This report summarizes exploratory data analysis performed on the Delinquency Prediction Dataset (500 customer records) ahead of building a delinquency-prediction model. The goal is to document data quality issues, the missing-data handling approach, and early indicators of delinquency risk, so that modeling decisions downstream are grounded in a clear understanding of the data's strengths and limitations.</w:t>
      </w:r>
    </w:p>
    <w:p>
      <w:pPr>
        <w:spacing w:after="0" w:before="480"/>
      </w:pPr>
      <w:r>
        <w:rPr>
          <w:rFonts w:ascii="Arial" w:cs="Arial" w:eastAsia="Arial" w:hAnsi="Arial"/>
          <w:b/>
          <w:bCs/>
          <w:color w:val="000000"/>
          <w:sz w:val="28"/>
          <w:szCs w:val="28"/>
        </w:rPr>
        <w:t xml:space="preserve">2. Dataset Overview</w:t>
      </w:r>
    </w:p>
    <w:p>
      <w:r>
        <w:rPr>
          <w:rFonts w:ascii="Arial" w:cs="Arial" w:eastAsia="Arial" w:hAnsi="Arial"/>
          <w:sz w:val="22"/>
          <w:szCs w:val="22"/>
        </w:rPr>
        <w:t xml:space="preserve">The dataset contains 500 customer records across 19 fields, combining demographic, credit, and loan attributes with a six-month history of monthly payment status. No duplicate Customer_IDs or fully duplicate rows were found.</w:t>
      </w:r>
    </w:p>
    <w:p>
      <w:r>
        <w:rPr>
          <w:rFonts w:ascii="Arial" w:cs="Arial" w:eastAsia="Arial" w:hAnsi="Arial"/>
        </w:rPr>
        <w:t xml:space="preserve"/>
      </w:r>
    </w:p>
    <w:p>
      <w:r>
        <w:rPr>
          <w:rFonts w:ascii="Arial" w:cs="Arial" w:eastAsia="Arial" w:hAnsi="Arial"/>
          <w:sz w:val="22"/>
          <w:szCs w:val="22"/>
        </w:rPr>
        <w:t xml:space="preserve">Key dataset attributes:</w:t>
      </w:r>
    </w:p>
    <w:p>
      <w:r>
        <w:rPr>
          <w:rFonts w:ascii="Arial" w:cs="Arial" w:eastAsia="Arial" w:hAnsi="Arial"/>
          <w:sz w:val="22"/>
          <w:szCs w:val="22"/>
        </w:rPr>
        <w:t xml:space="preserve">- Number of records: 500</w:t>
      </w:r>
    </w:p>
    <w:p>
      <w:r>
        <w:rPr>
          <w:rFonts w:ascii="Arial" w:cs="Arial" w:eastAsia="Arial" w:hAnsi="Arial"/>
          <w:sz w:val="22"/>
          <w:szCs w:val="22"/>
        </w:rPr>
        <w:t xml:space="preserve">- Key variables: Age, Income, Credit_Score, Credit_Utilization, Missed_Payments, Loan_Balance, Debt_to_Income_Ratio, Employment_Status, Account_Tenure, Credit_Card_Type, Location, Delinquent_Account (target), and Month_1–Month_6 (monthly payment status history)</w:t>
      </w:r>
    </w:p>
    <w:p>
      <w:r>
        <w:rPr>
          <w:rFonts w:ascii="Arial" w:cs="Arial" w:eastAsia="Arial" w:hAnsi="Arial"/>
          <w:sz w:val="22"/>
          <w:szCs w:val="22"/>
        </w:rPr>
        <w:t xml:space="preserve">- Data types: Numerical (Age, Income, Credit_Score, Credit_Utilization, Missed_Payments, Loan_Balance, Debt_to_Income_Ratio, Account_Tenure); Categorical (Employment_Status, Credit_Card_Type, Location, Month_1–Month_6); Binary target (Delinquent_Account)</w:t>
      </w:r>
    </w:p>
    <w:p>
      <w:r>
        <w:rPr>
          <w:rFonts w:ascii="Arial" w:cs="Arial" w:eastAsia="Arial" w:hAnsi="Arial"/>
        </w:rPr>
        <w:t xml:space="preserve"/>
      </w:r>
    </w:p>
    <w:p>
      <w:r>
        <w:rPr>
          <w:rFonts w:ascii="Arial" w:cs="Arial" w:eastAsia="Arial" w:hAnsi="Arial"/>
          <w:sz w:val="22"/>
          <w:szCs w:val="22"/>
        </w:rPr>
        <w:t xml:space="preserve">Notable anomalies and inconsistencies:</w:t>
      </w:r>
    </w:p>
    <w:p>
      <w:r>
        <w:rPr>
          <w:rFonts w:ascii="Arial" w:cs="Arial" w:eastAsia="Arial" w:hAnsi="Arial"/>
          <w:sz w:val="22"/>
          <w:szCs w:val="22"/>
        </w:rPr>
        <w:t xml:space="preserve">- Employment_Status contains redundant category labels representing the same group — "EMP," "Employed," and "employed" all denote employed status but are stored as three distinct string values, which would dilute that group's signal if left unstandardized.</w:t>
      </w:r>
    </w:p>
    <w:p>
      <w:r>
        <w:rPr>
          <w:rFonts w:ascii="Arial" w:cs="Arial" w:eastAsia="Arial" w:hAnsi="Arial"/>
          <w:sz w:val="22"/>
          <w:szCs w:val="22"/>
        </w:rPr>
        <w:t xml:space="preserve">- Credit_Utilization exceeds the theoretical 0–1.0 (100%) bound for 4 records, with a maximum of 1.03 — these values need validation or capping before use.</w:t>
      </w:r>
    </w:p>
    <w:p>
      <w:r>
        <w:rPr>
          <w:rFonts w:ascii="Arial" w:cs="Arial" w:eastAsia="Arial" w:hAnsi="Arial"/>
          <w:sz w:val="22"/>
          <w:szCs w:val="22"/>
        </w:rPr>
        <w:t xml:space="preserve">- Delinquent_Account is imbalanced: only 16% of accounts are marked delinquent, which will require attention during modeling (class weighting, resampling, or threshold tuning).</w:t>
      </w:r>
    </w:p>
    <w:p>
      <w:pPr>
        <w:spacing w:after="0" w:before="480"/>
      </w:pPr>
      <w:r>
        <w:rPr>
          <w:rFonts w:ascii="Arial" w:cs="Arial" w:eastAsia="Arial" w:hAnsi="Arial"/>
          <w:b/>
          <w:bCs/>
          <w:color w:val="000000"/>
          <w:sz w:val="28"/>
          <w:szCs w:val="28"/>
        </w:rPr>
        <w:t xml:space="preserve">3. Missing Data Analysis</w:t>
      </w:r>
    </w:p>
    <w:p>
      <w:r>
        <w:rPr>
          <w:rFonts w:ascii="Arial" w:cs="Arial" w:eastAsia="Arial" w:hAnsi="Arial"/>
          <w:sz w:val="22"/>
          <w:szCs w:val="22"/>
        </w:rPr>
        <w:t xml:space="preserve">Missing values were concentrated in three numeric fields. Each was assessed for its distribution shape before choosing a treatment method, since the right imputation approach depends on how a variable is distributed and what it correlates with.</w:t>
      </w:r>
    </w:p>
    <w:p>
      <w:r>
        <w:rPr>
          <w:rFonts w:ascii="Arial" w:cs="Arial" w:eastAsia="Arial" w:hAnsi="Arial"/>
        </w:rPr>
        <w:t xml:space="preserve"/>
      </w:r>
    </w:p>
    <w:p>
      <w:r>
        <w:rPr>
          <w:rFonts w:ascii="Arial" w:cs="Arial" w:eastAsia="Arial" w:hAnsi="Arial"/>
          <w:sz w:val="22"/>
          <w:szCs w:val="22"/>
        </w:rPr>
        <w:t xml:space="preserve">Key missing data findings:</w:t>
      </w:r>
    </w:p>
    <w:p>
      <w:r>
        <w:rPr>
          <w:rFonts w:ascii="Arial" w:cs="Arial" w:eastAsia="Arial" w:hAnsi="Arial"/>
          <w:sz w:val="22"/>
          <w:szCs w:val="22"/>
        </w:rPr>
        <w:t xml:space="preserve">- Variables with missing values: Income (39 records, 7.8%), Loan_Balance (29 records, 5.8%), Credit_Score (2 records, 0.4%)</w:t>
      </w:r>
    </w:p>
    <w:p>
      <w:r>
        <w:rPr>
          <w:rFonts w:ascii="Arial" w:cs="Arial" w:eastAsia="Arial" w:hAnsi="Arial"/>
          <w:sz w:val="22"/>
          <w:szCs w:val="22"/>
        </w:rPr>
        <w:t xml:space="preserve">- Missing data treatment: Income was treated as approximately normally distributed (skew ≈ 0.05) and imputed via random draws from a normal distribution fitted to the observed values (μ ≈ $108,380, σ ≈ $53,663), clipped to the observed data range, with an accompanying “was imputed” indicator flag retained for modeling transparency. Loan_Balance was treated as a relationship-driven field and is recommended for regression- or KNN-based imputation using Income and Debt_to_Income_Ratio as predictors, preserving inter-variable correlations rather than flattening them with a single mean or median. Credit_Score's 2 missing records are negligible (0.4%) and can be handled with simple median imputation without meaningfully affecting the distribution.</w:t>
      </w:r>
    </w:p>
    <w:p>
      <w:r>
        <w:rPr>
          <w:rFonts w:ascii="Arial" w:cs="Arial" w:eastAsia="Arial" w:hAnsi="Arial"/>
        </w:rPr>
        <w:t xml:space="preserve"/>
      </w:r>
    </w:p>
    <w:p>
      <w:r>
        <w:rPr>
          <w:rFonts w:ascii="Arial" w:cs="Arial" w:eastAsia="Arial" w:hAnsi="Arial"/>
          <w:sz w:val="22"/>
          <w:szCs w:val="22"/>
        </w:rPr>
        <w:t xml:space="preserve">Credit_Utilization required a related but distinct correction: rather than true missingness, 4 records held logically invalid values above 1.0. These were treated as invalid, nulled out, and are recommended for group-conditional median imputation (by Credit_Score band or Credit_Card_Type) rather than a single global fill value, since utilization typically varies systematically by credit tier.</w:t>
      </w:r>
    </w:p>
    <w:p>
      <w:pPr>
        <w:spacing w:after="0" w:before="480"/>
      </w:pPr>
      <w:r>
        <w:rPr>
          <w:rFonts w:ascii="Arial" w:cs="Arial" w:eastAsia="Arial" w:hAnsi="Arial"/>
          <w:b/>
          <w:bCs/>
          <w:color w:val="000000"/>
          <w:sz w:val="28"/>
          <w:szCs w:val="28"/>
        </w:rPr>
        <w:t xml:space="preserve">4. Key Findings and Risk Indicators</w:t>
      </w:r>
    </w:p>
    <w:p>
      <w:r>
        <w:rPr>
          <w:rFonts w:ascii="Arial" w:cs="Arial" w:eastAsia="Arial" w:hAnsi="Arial"/>
          <w:sz w:val="22"/>
          <w:szCs w:val="22"/>
        </w:rPr>
        <w:t xml:space="preserve">Correlation analysis was run across all numeric fields against Delinquent_Account, and pairwise between key predictors (e.g., Credit_Utilization vs. Missed_Payments, Debt_to_Income_Ratio vs. Missed_Payments). The central finding is that this dataset shows very little linear relationship between any of the available fields and the delinquency outcome.</w:t>
      </w:r>
    </w:p>
    <w:p>
      <w:r>
        <w:rPr>
          <w:rFonts w:ascii="Arial" w:cs="Arial" w:eastAsia="Arial" w:hAnsi="Arial"/>
        </w:rPr>
        <w:t xml:space="preserve"/>
      </w:r>
    </w:p>
    <w:p>
      <w:r>
        <w:rPr>
          <w:rFonts w:ascii="Arial" w:cs="Arial" w:eastAsia="Arial" w:hAnsi="Arial"/>
          <w:sz w:val="22"/>
          <w:szCs w:val="22"/>
        </w:rPr>
        <w:t xml:space="preserve">Key findings:</w:t>
      </w:r>
    </w:p>
    <w:p>
      <w:r>
        <w:rPr>
          <w:rFonts w:ascii="Arial" w:cs="Arial" w:eastAsia="Arial" w:hAnsi="Arial"/>
          <w:sz w:val="22"/>
          <w:szCs w:val="22"/>
        </w:rPr>
        <w:t xml:space="preserve">- Correlations observed between key variables: every numeric field's correlation with Delinquent_Account falls under 0.05 in magnitude (Income 0.045, Credit_Score 0.035, Debt_to_Income_Ratio 0.034, Credit_Utilization 0.034, Age 0.023, Loan_Balance −0.004, Missed_Payments −0.026, Account_Tenure −0.040) — far below the 0.15–0.35 range typically seen for real, if weak, credit-risk predictors. Credit_Utilization vs. Missed_Payments, a relationship expected to be positive, shows a correlation of only 0.02, and delinquency rate stays flat (12–19%) across utilization bands rather than rising with utilization as expected.</w:t>
      </w:r>
    </w:p>
    <w:p>
      <w:r>
        <w:rPr>
          <w:rFonts w:ascii="Arial" w:cs="Arial" w:eastAsia="Arial" w:hAnsi="Arial"/>
          <w:sz w:val="22"/>
          <w:szCs w:val="22"/>
        </w:rPr>
        <w:t xml:space="preserve">- Unexpected anomalies requiring further investigation: the Missed_Payments field and the missed-month count derived from the Month_1–Month_6 history describe the same underlying behavior but correlate at only 0.007 with each other, suggesting these two fields may not be internally consistent. Delinquency rate is also flat (13–18%) across Credit_Score bands, including the highest-scoring tier — the opposite of typical credit-score behavior. Taken together, this pattern is consistent with a synthetic or randomly generated dataset where the target was not generated as a function of the other fields, and should be confirmed with the data source before investing further modeling effort.</w:t>
      </w:r>
    </w:p>
    <w:p>
      <w:r>
        <w:rPr>
          <w:rFonts w:ascii="Arial" w:cs="Arial" w:eastAsia="Arial" w:hAnsi="Arial"/>
          <w:sz w:val="22"/>
          <w:szCs w:val="22"/>
        </w:rPr>
        <w:t xml:space="preserve">- Tentative top predictor candidates (based on domain reasoning rather than observed correlation, given the weak signal above): Missed_Payments, Credit_Utilization, and Debt_to_Income_Ratio — each is a standard, theoretically sound credit-risk indicator, but none showed meaningful predictive signal in this particular dataset.</w:t>
      </w:r>
    </w:p>
    <w:p>
      <w:pPr>
        <w:spacing w:after="0" w:before="480"/>
      </w:pPr>
      <w:r>
        <w:rPr>
          <w:rFonts w:ascii="Arial" w:cs="Arial" w:eastAsia="Arial" w:hAnsi="Arial"/>
          <w:b/>
          <w:bCs/>
          <w:color w:val="000000"/>
          <w:sz w:val="28"/>
          <w:szCs w:val="28"/>
        </w:rPr>
        <w:t xml:space="preserve">5. AI &amp; GenAI Usage</w:t>
      </w:r>
    </w:p>
    <w:p>
      <w:r>
        <w:rPr>
          <w:rFonts w:ascii="Arial" w:cs="Arial" w:eastAsia="Arial" w:hAnsi="Arial"/>
          <w:sz w:val="22"/>
          <w:szCs w:val="22"/>
        </w:rPr>
        <w:t xml:space="preserve">Generative AI tools were used to summarize the dataset, propose an imputation strategy, generate synthetic income values, and analyze relationships between variables and the delinquency outcome. This section documents the AI-generated insights and the prompts used to obtain results.</w:t>
      </w:r>
    </w:p>
    <w:p>
      <w:r>
        <w:rPr>
          <w:rFonts w:ascii="Arial" w:cs="Arial" w:eastAsia="Arial" w:hAnsi="Arial"/>
        </w:rPr>
        <w:t xml:space="preserve"/>
      </w:r>
    </w:p>
    <w:p>
      <w:r>
        <w:rPr>
          <w:rFonts w:ascii="Arial" w:cs="Arial" w:eastAsia="Arial" w:hAnsi="Arial"/>
          <w:sz w:val="22"/>
          <w:szCs w:val="22"/>
        </w:rPr>
        <w:t xml:space="preserve">Example AI prompts used:</w:t>
      </w:r>
    </w:p>
    <w:p>
      <w:r>
        <w:rPr>
          <w:rFonts w:ascii="Arial" w:cs="Arial" w:eastAsia="Arial" w:hAnsi="Arial"/>
          <w:sz w:val="22"/>
          <w:szCs w:val="22"/>
        </w:rPr>
        <w:t xml:space="preserve">- 'Summarize key patterns, outliers, and missing values in this dataset. Highlight any fields that might present problems for modeling delinquency.'</w:t>
      </w:r>
    </w:p>
    <w:p>
      <w:r>
        <w:rPr>
          <w:rFonts w:ascii="Arial" w:cs="Arial" w:eastAsia="Arial" w:hAnsi="Arial"/>
          <w:sz w:val="22"/>
          <w:szCs w:val="22"/>
        </w:rPr>
        <w:t xml:space="preserve">- 'Identify the top 3 variables most likely to predict delinquency based on this dataset. Provide brief reasoning.'</w:t>
      </w:r>
    </w:p>
    <w:p>
      <w:r>
        <w:rPr>
          <w:rFonts w:ascii="Arial" w:cs="Arial" w:eastAsia="Arial" w:hAnsi="Arial"/>
          <w:sz w:val="22"/>
          <w:szCs w:val="22"/>
        </w:rPr>
        <w:t xml:space="preserve">- 'Suggest an imputation strategy for missing values in this dataset based on industry best practices.'</w:t>
      </w:r>
    </w:p>
    <w:p>
      <w:r>
        <w:rPr>
          <w:rFonts w:ascii="Arial" w:cs="Arial" w:eastAsia="Arial" w:hAnsi="Arial"/>
          <w:sz w:val="22"/>
          <w:szCs w:val="22"/>
        </w:rPr>
        <w:t xml:space="preserve">- 'Propose best-practice methods to handle missing credit utilization data for predictive modeling.'</w:t>
      </w:r>
    </w:p>
    <w:p>
      <w:r>
        <w:rPr>
          <w:rFonts w:ascii="Arial" w:cs="Arial" w:eastAsia="Arial" w:hAnsi="Arial"/>
          <w:sz w:val="22"/>
          <w:szCs w:val="22"/>
        </w:rPr>
        <w:t xml:space="preserve">- 'Generate realistic synthetic income values for missing entries using normal distribution assumptions.'</w:t>
      </w:r>
    </w:p>
    <w:p>
      <w:r>
        <w:rPr>
          <w:rFonts w:ascii="Arial" w:cs="Arial" w:eastAsia="Arial" w:hAnsi="Arial"/>
          <w:sz w:val="22"/>
          <w:szCs w:val="22"/>
        </w:rPr>
        <w:t xml:space="preserve">- 'Analyze relationships between variables and delinquency outcomes (e.g., is high credit utilization associated with missed payments?).'</w:t>
      </w:r>
    </w:p>
    <w:p>
      <w:pPr>
        <w:spacing w:after="0" w:before="480"/>
      </w:pPr>
      <w:r>
        <w:rPr>
          <w:rFonts w:ascii="Arial" w:cs="Arial" w:eastAsia="Arial" w:hAnsi="Arial"/>
          <w:b/>
          <w:bCs/>
          <w:color w:val="000000"/>
          <w:sz w:val="28"/>
          <w:szCs w:val="28"/>
        </w:rPr>
        <w:t xml:space="preserve">6. Conclusion &amp; Next Steps</w:t>
      </w:r>
    </w:p>
    <w:p>
      <w:r>
        <w:rPr>
          <w:rFonts w:ascii="Arial" w:cs="Arial" w:eastAsia="Arial" w:hAnsi="Arial"/>
          <w:sz w:val="22"/>
          <w:szCs w:val="22"/>
        </w:rPr>
        <w:t xml:space="preserve">This dataset is structurally clean — no duplicate records, and missingness is limited to three numeric fields with a clear, defensible imputation path. However, the core modeling risk is not data quality but data signal: none of the available fields show a meaningful relationship with the delinquency target, including intuitively strong candidates like Missed_Payments and the payment-history fields. Recommended next steps: (1) standardize the Employment_Status categories and cap or validate the out-of-range Credit_Utilization values; (2) apply the imputation strategies outlined in Section 3; (3) confirm with the data source whether Delinquent_Account was generated independently of the other fields, since this would explain the near-zero correlations observed; and (4) if the data is confirmed to reflect real customer behavior, explore engineered features (interaction terms, trends across the 6-month payment history) before concluding that no predictive signal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2026-08-08T16:45:14.328Z</dcterms:created>
  <dcterms:modified xsi:type="dcterms:W3CDTF">2026-08-08T16:45:14.341Z</dcterms:modified>
</cp:coreProperties>
</file>

<file path=docProps/custom.xml><?xml version="1.0" encoding="utf-8"?>
<Properties xmlns="http://schemas.openxmlformats.org/officeDocument/2006/custom-properties" xmlns:vt="http://schemas.openxmlformats.org/officeDocument/2006/docPropsVTypes"/>
</file>