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FBFBF" w:sz="6" w:space="8"/>
        </w:pBdr>
        <w:spacing w:after="240"/>
        <w:jc w:val="center"/>
      </w:pPr>
      <w:r>
        <w:rPr>
          <w:rFonts w:ascii="Arial" w:cs="Arial" w:eastAsia="Arial" w:hAnsi="Arial"/>
          <w:sz w:val="32"/>
          <w:szCs w:val="32"/>
        </w:rPr>
        <w:t xml:space="preserve">Business Summary Report:</w:t>
      </w:r>
      <w:r>
        <w:rPr>
          <w:rFonts w:ascii="Arial" w:cs="Arial" w:eastAsia="Arial" w:hAnsi="Arial"/>
          <w:sz w:val="32"/>
          <w:szCs w:val="32"/>
        </w:rPr>
        <w:br/>
        <w:t xml:space="preserve">Predictive Insights for Collections Strategy</w:t>
      </w:r>
    </w:p>
    <w:p>
      <w:pPr>
        <w:spacing w:after="80" w:before="220"/>
      </w:pPr>
      <w:r>
        <w:rPr>
          <w:rFonts w:ascii="Arial" w:cs="Arial" w:eastAsia="Arial" w:hAnsi="Arial"/>
          <w:b/>
          <w:bCs/>
          <w:sz w:val="24"/>
          <w:szCs w:val="24"/>
        </w:rPr>
        <w:t xml:space="preserve">1. Summary of Predictive Insights</w:t>
      </w:r>
    </w:p>
    <w:p>
      <w:pPr>
        <w:spacing w:after="100"/>
      </w:pPr>
      <w:r>
        <w:rPr>
          <w:rFonts w:ascii="Arial" w:cs="Arial" w:eastAsia="Arial" w:hAnsi="Arial"/>
          <w:sz w:val="21"/>
          <w:szCs w:val="21"/>
        </w:rPr>
        <w:t xml:space="preserve">We pulled apart the Geldium delinquency dataset (500 customers) looking for the usual suspects — income, credit utilization, missed payments, debt-to-income ratio — and ran both correlation checks and two trained models (a decision tree and logistic regression) to see what actually predicts delinquency.</w:t>
      </w:r>
    </w:p>
    <w:p>
      <w:pPr>
        <w:pStyle w:val="ListParagraph"/>
        <w:numPr>
          <w:ilvl w:val="0"/>
          <w:numId w:val="1"/>
        </w:numPr>
        <w:spacing w:after="60"/>
      </w:pPr>
      <w:r>
        <w:rPr>
          <w:rFonts w:ascii="Arial" w:cs="Arial" w:eastAsia="Arial" w:hAnsi="Arial"/>
          <w:sz w:val="21"/>
          <w:szCs w:val="21"/>
        </w:rPr>
        <w:t xml:space="preserve">The honest headline: none of the individual variables we tested show a meaningful relationship with delinquency. Every correlation came in under 0.05, and both models scored at or below random chance when tested on held-out customers.</w:t>
      </w:r>
    </w:p>
    <w:p>
      <w:pPr>
        <w:pStyle w:val="ListParagraph"/>
        <w:numPr>
          <w:ilvl w:val="0"/>
          <w:numId w:val="1"/>
        </w:numPr>
        <w:spacing w:after="60"/>
      </w:pPr>
      <w:r>
        <w:rPr>
          <w:rFonts w:ascii="Arial" w:cs="Arial" w:eastAsia="Arial" w:hAnsi="Arial"/>
          <w:sz w:val="21"/>
          <w:szCs w:val="21"/>
        </w:rPr>
        <w:t xml:space="preserve">Credit utilization, usually one of the strongest delinquency signals in lending data, showed almost no relationship here (correlation 0.034) — worth flagging to Collections since it runs counter to what the team likely expects going in.</w:t>
      </w:r>
    </w:p>
    <w:p>
      <w:pPr>
        <w:pStyle w:val="ListParagraph"/>
        <w:numPr>
          <w:ilvl w:val="0"/>
          <w:numId w:val="1"/>
        </w:numPr>
        <w:spacing w:after="60"/>
      </w:pPr>
      <w:r>
        <w:rPr>
          <w:rFonts w:ascii="Arial" w:cs="Arial" w:eastAsia="Arial" w:hAnsi="Arial"/>
          <w:sz w:val="21"/>
          <w:szCs w:val="21"/>
        </w:rPr>
        <w:t xml:space="preserve">Customer segments told a slightly different story. Business cardholders, unemployed customers, and Los Angeles-based customers each showed delinquency rates several points above the rest of the portfolio — not dramatic, but the closest thing to a usable early signal in this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Pr>
          <w:p>
            <w:r>
              <w:rPr>
                <w:rFonts w:ascii="Arial" w:cs="Arial" w:eastAsia="Arial" w:hAnsi="Arial"/>
                <w:b/>
                <w:bCs/>
                <w:sz w:val="18"/>
                <w:szCs w:val="18"/>
              </w:rPr>
              <w:t xml:space="preserve">Key Insight</w:t>
            </w:r>
          </w:p>
        </w:tc>
        <w:tc>
          <w:tcPr>
            <w:tcW w:type="pct" w:w="20%"/>
          </w:tcPr>
          <w:p>
            <w:r>
              <w:rPr>
                <w:rFonts w:ascii="Arial" w:cs="Arial" w:eastAsia="Arial" w:hAnsi="Arial"/>
                <w:b/>
                <w:bCs/>
                <w:sz w:val="18"/>
                <w:szCs w:val="18"/>
              </w:rPr>
              <w:t xml:space="preserve">Customer Segment</w:t>
            </w:r>
          </w:p>
        </w:tc>
        <w:tc>
          <w:tcPr>
            <w:tcW w:type="pct" w:w="33%"/>
          </w:tcPr>
          <w:p>
            <w:r>
              <w:rPr>
                <w:rFonts w:ascii="Arial" w:cs="Arial" w:eastAsia="Arial" w:hAnsi="Arial"/>
                <w:b/>
                <w:bCs/>
                <w:sz w:val="18"/>
                <w:szCs w:val="18"/>
              </w:rPr>
              <w:t xml:space="preserve">Influencing Variables</w:t>
            </w:r>
          </w:p>
        </w:tc>
        <w:tc>
          <w:tcPr>
            <w:tcW w:type="pct" w:w="25%"/>
          </w:tcPr>
          <w:p>
            <w:r>
              <w:rPr>
                <w:rFonts w:ascii="Arial" w:cs="Arial" w:eastAsia="Arial" w:hAnsi="Arial"/>
                <w:b/>
                <w:bCs/>
                <w:sz w:val="18"/>
                <w:szCs w:val="18"/>
              </w:rPr>
              <w:t xml:space="preserve">Potential Impact</w:t>
            </w:r>
          </w:p>
        </w:tc>
      </w:tr>
      <w:tr>
        <w:tc>
          <w:tcPr>
            <w:tcW w:type="pct" w:w="25%"/>
          </w:tcPr>
          <w:p>
            <w:r>
              <w:rPr>
                <w:rFonts w:ascii="Arial" w:cs="Arial" w:eastAsia="Arial" w:hAnsi="Arial"/>
                <w:b w:val="false"/>
                <w:bCs w:val="false"/>
                <w:sz w:val="18"/>
                <w:szCs w:val="18"/>
              </w:rPr>
              <w:t xml:space="preserve">No single variable in the current dataset shows a strong link to delinquency; categorical segments show mild differences worth a closer look.</w:t>
            </w:r>
          </w:p>
        </w:tc>
        <w:tc>
          <w:tcPr>
            <w:tcW w:type="pct" w:w="25%"/>
          </w:tcPr>
          <w:p>
            <w:r>
              <w:rPr>
                <w:rFonts w:ascii="Arial" w:cs="Arial" w:eastAsia="Arial" w:hAnsi="Arial"/>
                <w:b w:val="false"/>
                <w:bCs w:val="false"/>
                <w:sz w:val="18"/>
                <w:szCs w:val="18"/>
              </w:rPr>
              <w:t xml:space="preserve">Business cardholders; unemployed customers; Los Angeles customers</w:t>
            </w:r>
          </w:p>
        </w:tc>
        <w:tc>
          <w:tcPr>
            <w:tcW w:type="pct" w:w="25%"/>
          </w:tcPr>
          <w:p>
            <w:r>
              <w:rPr>
                <w:rFonts w:ascii="Arial" w:cs="Arial" w:eastAsia="Arial" w:hAnsi="Arial"/>
                <w:b w:val="false"/>
                <w:bCs w:val="false"/>
                <w:sz w:val="18"/>
                <w:szCs w:val="18"/>
              </w:rPr>
              <w:t xml:space="preserve">Employment status, card type, and location show the widest (though still modest) delinquency-rate gaps — roughly 7–9.5 percentage points between highest and lowest group</w:t>
            </w:r>
          </w:p>
        </w:tc>
        <w:tc>
          <w:tcPr>
            <w:tcW w:type="pct" w:w="25%"/>
          </w:tcPr>
          <w:p>
            <w:r>
              <w:rPr>
                <w:rFonts w:ascii="Arial" w:cs="Arial" w:eastAsia="Arial" w:hAnsi="Arial"/>
                <w:b w:val="false"/>
                <w:bCs w:val="false"/>
                <w:sz w:val="18"/>
                <w:szCs w:val="18"/>
              </w:rPr>
              <w:t xml:space="preserve">Use these segments to prioritize where Collections looks first, while treating them as leads to confirm — not settled facts — until backed by a larger dataset</w:t>
            </w:r>
          </w:p>
        </w:tc>
      </w:tr>
    </w:tbl>
    <w:p>
      <w:pPr>
        <w:spacing w:after="80" w:before="220"/>
      </w:pPr>
      <w:r>
        <w:rPr>
          <w:rFonts w:ascii="Arial" w:cs="Arial" w:eastAsia="Arial" w:hAnsi="Arial"/>
          <w:b/>
          <w:bCs/>
          <w:sz w:val="24"/>
          <w:szCs w:val="24"/>
        </w:rPr>
        <w:t xml:space="preserve">2. Recommendation Framework</w:t>
      </w:r>
    </w:p>
    <w:p>
      <w:pPr>
        <w:spacing w:after="100"/>
      </w:pPr>
      <w:r>
        <w:rPr>
          <w:rFonts w:ascii="Arial" w:cs="Arial" w:eastAsia="Arial" w:hAnsi="Arial"/>
          <w:sz w:val="21"/>
          <w:szCs w:val="21"/>
        </w:rPr>
        <w:t xml:space="preserve">Restated Insight: Credit utilization is commonly associated with delinquency risk industry-wide, though this dataset itself didn't confirm the relationship.</w:t>
      </w:r>
    </w:p>
    <w:p>
      <w:pPr>
        <w:spacing w:after="100"/>
      </w:pPr>
      <w:r>
        <w:rPr>
          <w:rFonts w:ascii="Arial" w:cs="Arial" w:eastAsia="Arial" w:hAnsi="Arial"/>
          <w:sz w:val="21"/>
          <w:szCs w:val="21"/>
        </w:rPr>
        <w:t xml:space="preserve">Proposed Recommendation: Launch a pilot outreach program for customers above 70% utilization, and use the pilot itself to test whether utilization actually predicts delinquency in Geldium's real customer base before rolling anything out further.</w:t>
      </w:r>
    </w:p>
    <w:p>
      <w:pPr>
        <w:pStyle w:val="ListParagraph"/>
        <w:numPr>
          <w:ilvl w:val="0"/>
          <w:numId w:val="1"/>
        </w:numPr>
        <w:spacing w:after="60"/>
      </w:pPr>
      <w:r>
        <w:rPr>
          <w:rFonts w:ascii="Arial" w:cs="Arial" w:eastAsia="Arial" w:hAnsi="Arial"/>
          <w:sz w:val="21"/>
          <w:szCs w:val="21"/>
        </w:rPr>
        <w:t xml:space="preserve">Specific: Target customers with utilization over 70% for early outreach — a reminder call, a credit counseling offer, or a limit review.</w:t>
      </w:r>
    </w:p>
    <w:p>
      <w:pPr>
        <w:pStyle w:val="ListParagraph"/>
        <w:numPr>
          <w:ilvl w:val="0"/>
          <w:numId w:val="1"/>
        </w:numPr>
        <w:spacing w:after="60"/>
      </w:pPr>
      <w:r>
        <w:rPr>
          <w:rFonts w:ascii="Arial" w:cs="Arial" w:eastAsia="Arial" w:hAnsi="Arial"/>
          <w:sz w:val="21"/>
          <w:szCs w:val="21"/>
        </w:rPr>
        <w:t xml:space="preserve">Measurable: Track delinquency rate in this group against a matched control group not receiving outreach.</w:t>
      </w:r>
    </w:p>
    <w:p>
      <w:pPr>
        <w:pStyle w:val="ListParagraph"/>
        <w:numPr>
          <w:ilvl w:val="0"/>
          <w:numId w:val="1"/>
        </w:numPr>
        <w:spacing w:after="60"/>
      </w:pPr>
      <w:r>
        <w:rPr>
          <w:rFonts w:ascii="Arial" w:cs="Arial" w:eastAsia="Arial" w:hAnsi="Arial"/>
          <w:sz w:val="21"/>
          <w:szCs w:val="21"/>
        </w:rPr>
        <w:t xml:space="preserve">Actionable: Collections already has the contact infrastructure for this kind of outreach; it requires a segment list, not new tooling.</w:t>
      </w:r>
    </w:p>
    <w:p>
      <w:pPr>
        <w:pStyle w:val="ListParagraph"/>
        <w:numPr>
          <w:ilvl w:val="0"/>
          <w:numId w:val="1"/>
        </w:numPr>
        <w:spacing w:after="60"/>
      </w:pPr>
      <w:r>
        <w:rPr>
          <w:rFonts w:ascii="Arial" w:cs="Arial" w:eastAsia="Arial" w:hAnsi="Arial"/>
          <w:sz w:val="21"/>
          <w:szCs w:val="21"/>
        </w:rPr>
        <w:t xml:space="preserve">Relevant: Directly tests the industry assumption this report opened with, using Geldium's own customers instead of outside data.</w:t>
      </w:r>
    </w:p>
    <w:p>
      <w:pPr>
        <w:pStyle w:val="ListParagraph"/>
        <w:numPr>
          <w:ilvl w:val="0"/>
          <w:numId w:val="1"/>
        </w:numPr>
        <w:spacing w:after="60"/>
      </w:pPr>
      <w:r>
        <w:rPr>
          <w:rFonts w:ascii="Arial" w:cs="Arial" w:eastAsia="Arial" w:hAnsi="Arial"/>
          <w:sz w:val="21"/>
          <w:szCs w:val="21"/>
        </w:rPr>
        <w:t xml:space="preserve">Time-bound: Run as a 6-month pilot, with delinquency rates reviewed monthly.</w:t>
      </w:r>
    </w:p>
    <w:p>
      <w:pPr>
        <w:spacing w:after="100"/>
      </w:pPr>
      <w:r>
        <w:rPr>
          <w:rFonts w:ascii="Arial" w:cs="Arial" w:eastAsia="Arial" w:hAnsi="Arial"/>
          <w:sz w:val="21"/>
          <w:szCs w:val="21"/>
        </w:rPr>
        <w:t xml:space="preserve">Justification and Business Rationale: Given that our own data didn't confirm the utilization-delinquency link, the smartest move isn't to commit to a full rollout — it's to pilot the idea and let Geldium's own results settle the question. This keeps the door open on a well-established industry pattern without spending against an assumption we can't yet back up internally.</w:t>
      </w:r>
    </w:p>
    <w:p>
      <w:pPr>
        <w:spacing w:after="80" w:before="220"/>
      </w:pPr>
      <w:r>
        <w:rPr>
          <w:rFonts w:ascii="Arial" w:cs="Arial" w:eastAsia="Arial" w:hAnsi="Arial"/>
          <w:b/>
          <w:bCs/>
          <w:sz w:val="24"/>
          <w:szCs w:val="24"/>
        </w:rPr>
        <w:t xml:space="preserve">3. Ethical and Responsible AI Considerations</w:t>
      </w:r>
    </w:p>
    <w:p>
      <w:pPr>
        <w:pStyle w:val="ListParagraph"/>
        <w:numPr>
          <w:ilvl w:val="0"/>
          <w:numId w:val="1"/>
        </w:numPr>
        <w:spacing w:after="60"/>
      </w:pPr>
      <w:r>
        <w:rPr>
          <w:rFonts w:ascii="Arial" w:cs="Arial" w:eastAsia="Arial" w:hAnsi="Arial"/>
          <w:sz w:val="21"/>
          <w:szCs w:val="21"/>
        </w:rPr>
        <w:t xml:space="preserve">Potential for bias: Employment status, card type, and location showed the largest group differences in this data — and all three can double as stand-ins for protected characteristics like age or socioeconomic background, even without using those characteristics directly. Before acting on the segment findings above, we'd want to check whether those gaps hold up once other factors are controlled for, rather than treating group membership itself as the reason for risk.</w:t>
      </w:r>
    </w:p>
    <w:p>
      <w:pPr>
        <w:pStyle w:val="ListParagraph"/>
        <w:numPr>
          <w:ilvl w:val="0"/>
          <w:numId w:val="1"/>
        </w:numPr>
        <w:spacing w:after="60"/>
      </w:pPr>
      <w:r>
        <w:rPr>
          <w:rFonts w:ascii="Arial" w:cs="Arial" w:eastAsia="Arial" w:hAnsi="Arial"/>
          <w:sz w:val="21"/>
          <w:szCs w:val="21"/>
        </w:rPr>
        <w:t xml:space="preserve">Explainability: We recommended logistic regression specifically because it's easy to explain — each factor's effect on the score can be stated in plain terms for a customer or a regulator, unlike a more complex model where you'd need extra tooling just to explain a single decision.</w:t>
      </w:r>
    </w:p>
    <w:p>
      <w:pPr>
        <w:pStyle w:val="ListParagraph"/>
        <w:numPr>
          <w:ilvl w:val="0"/>
          <w:numId w:val="1"/>
        </w:numPr>
        <w:spacing w:after="60"/>
      </w:pPr>
      <w:r>
        <w:rPr>
          <w:rFonts w:ascii="Arial" w:cs="Arial" w:eastAsia="Arial" w:hAnsi="Arial"/>
          <w:sz w:val="21"/>
          <w:szCs w:val="21"/>
        </w:rPr>
        <w:t xml:space="preserve">Responsible decision-making: A risk score should prompt a conversation or a review, not an automatic denial. We'd recommend keeping a person involved in any decision that affects a customer's credit access.</w:t>
      </w:r>
    </w:p>
    <w:p>
      <w:pPr>
        <w:pStyle w:val="ListParagraph"/>
        <w:numPr>
          <w:ilvl w:val="0"/>
          <w:numId w:val="1"/>
        </w:numPr>
        <w:spacing w:after="60"/>
      </w:pPr>
      <w:r>
        <w:rPr>
          <w:rFonts w:ascii="Arial" w:cs="Arial" w:eastAsia="Arial" w:hAnsi="Arial"/>
          <w:sz w:val="21"/>
          <w:szCs w:val="21"/>
        </w:rPr>
        <w:t xml:space="preserve">Transparency and accountability: This report has tried to lead with what the data does and doesn't support, including that our models didn't perform above chance. We think that's part of using AI responsibly here — flagging the limits plainly instead of presenting a shakier finding as more solid than it is.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2026-08-08T18:52:54.130Z</dcterms:created>
  <dcterms:modified xsi:type="dcterms:W3CDTF">2026-08-08T18:52:54.142Z</dcterms:modified>
</cp:coreProperties>
</file>

<file path=docProps/custom.xml><?xml version="1.0" encoding="utf-8"?>
<Properties xmlns="http://schemas.openxmlformats.org/officeDocument/2006/custom-properties" xmlns:vt="http://schemas.openxmlformats.org/officeDocument/2006/docPropsVTypes"/>
</file>