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Twenty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theme for 2020.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default theme for 2020 is designed to take full advantage of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 of the block editor. Organizations and businesses have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create dynamic landing pages with endless layouts using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and column blocks. The centered content column and fine-tuned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 also makes it perfect for traditional blogs. Complete editor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 give you a good idea of what your content will look like, even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publish. You can give your site a personal touch by changing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background colors and the accent color in the Customizer. The colors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elements on your site are automatically calculated based on the colors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pick, ensuring a high, accessible color contrast for your visitors.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24,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https://wordpress.org/support/article/twenty-twenty-changelog/#Version_2.0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 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25,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11, 2020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June 10, 2020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14, 2020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31, 2020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12, 2019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https://wordpress.org/support/article/twenty-twenty-changelog/#Version_1.1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12, 2019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WordPress Theme, Copyright 2019-2022 WordPress.org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is distributed under the terms of the GNU GPL.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is derived from the Chaplin Theme, Copyright 2019 Anders Norén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 Theme is distributed under the terms of the GNU GPL version 2.0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bundles the following third-party resources: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 by Tammie Lister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Creative Commons Zero (CC0), https://creativecommons.org/publicdomain/zero/1.0/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Font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2016-2019 The Inter Project Authors (me@rsms.me)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1.1, https://opensource.org/licenses/OFL-1.1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https://rsms.me/inter/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 Icons Created For Twenty Twenty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Creative Commons Zero (CC0), https://creativecommons.org/publicdomain/zero/1.0/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bespoke icons: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icon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 icon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Icons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2013-2017 Cole Bemis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 License, https://opensource.org/licenses/MIT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https://feathericons.com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post meta icons, and the link icon in the social menu.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TikTok Icon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Émilie Lebrun - @Emlebrun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TikTok social icon.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Icons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General Public License v2 or later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WordPress Social Link Block (See wp-includes\blocks\social-link.php)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Twenty Nineteen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2018-2022 WordPress.org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https://wordpress.org/themes/twentynineteen/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as part of the following classes and functions: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TwentyTwenty_SVG_Icons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twentytwenty_the_theme_svg()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twentytwenty_get_theme_svg()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twentytwenty_nav_menu_social_icons()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Twenty Seventeen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2016-2022 WordPress.org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https://wordpress.org/themes/twentyseventeen/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as part of the following classes and functions: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twentytwenty_unique_id()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https://underscores.me/, (C) 2012-2022 Automattic, Inc., [GPLv2 or later](https://www.gnu.org/licenses/gpl-2.0.html)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