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1012"/>
        <w:tblGridChange w:id="0">
          <w:tblGrid>
            <w:gridCol w:w="11012"/>
          </w:tblGrid>
        </w:tblGridChange>
      </w:tblGrid>
      <w:tr>
        <w:trPr>
          <w:trHeight w:val="16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Pooja Bhansali - gs6262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 632 – Big Data Technology and Applications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Take Home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 What is the output of the user-defined counter?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99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Total count = 18 days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99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Aquaman  = 11 days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99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Deadpool 2 = 7 days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99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Did you increment the counter in the mapper or in the reducer? Why?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99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99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90000"/>
          <w:sz w:val="24"/>
          <w:szCs w:val="24"/>
          <w:rtl w:val="0"/>
        </w:rPr>
        <w:t xml:space="preserve">I increment the counter in reducer as that is where I will have everything reduced after all the mapping, mappers could be operating independently and can lead to inconsistent count.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