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BA4" w:rsidRPr="009B4C30" w:rsidRDefault="00DE2D1D">
      <w:pPr>
        <w:rPr>
          <w:rFonts w:ascii="Times New Roman" w:hAnsi="Times New Roman" w:cs="Times New Roman"/>
          <w:sz w:val="24"/>
          <w:szCs w:val="24"/>
        </w:rPr>
      </w:pPr>
      <w:r w:rsidRPr="009B4C3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Silver Ratio</w:t>
      </w:r>
      <w:r w:rsidR="002623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161F" w:rsidRDefault="00A21BB4">
      <w:pPr>
        <w:rPr>
          <w:rFonts w:ascii="Times New Roman" w:hAnsi="Times New Roman" w:cs="Times New Roman"/>
          <w:sz w:val="24"/>
          <w:szCs w:val="24"/>
        </w:rPr>
      </w:pPr>
      <w:r w:rsidRPr="009B4C30">
        <w:rPr>
          <w:rFonts w:ascii="Times New Roman" w:hAnsi="Times New Roman" w:cs="Times New Roman"/>
          <w:sz w:val="24"/>
          <w:szCs w:val="24"/>
        </w:rPr>
        <w:t xml:space="preserve">Silver ratio is the number that survived antiquity. </w:t>
      </w:r>
      <w:r w:rsidR="00C9161F" w:rsidRPr="009B4C30">
        <w:rPr>
          <w:rFonts w:ascii="Times New Roman" w:hAnsi="Times New Roman" w:cs="Times New Roman"/>
          <w:sz w:val="24"/>
          <w:szCs w:val="24"/>
        </w:rPr>
        <w:t xml:space="preserve">It is an irrational mathematical constant, whose value is approximately 2.4142135623. </w:t>
      </w:r>
      <w:r w:rsidRPr="009B4C30">
        <w:rPr>
          <w:rFonts w:ascii="Times New Roman" w:hAnsi="Times New Roman" w:cs="Times New Roman"/>
          <w:sz w:val="24"/>
          <w:szCs w:val="24"/>
        </w:rPr>
        <w:t xml:space="preserve">It is denoted by </w:t>
      </w:r>
      <w:proofErr w:type="spellStart"/>
      <w:r w:rsidR="00C06FEB" w:rsidRPr="009B4C3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δ</w:t>
      </w:r>
      <w:r w:rsidR="00C06FEB" w:rsidRPr="009B4C3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vertAlign w:val="subscript"/>
        </w:rPr>
        <w:t>S</w:t>
      </w:r>
      <w:proofErr w:type="spellEnd"/>
      <w:r w:rsidR="002B75E2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vertAlign w:val="subscript"/>
        </w:rPr>
        <w:t xml:space="preserve"> </w:t>
      </w:r>
      <w:r w:rsidR="002B75E2">
        <w:rPr>
          <w:rFonts w:ascii="Times New Roman" w:hAnsi="Times New Roman" w:cs="Times New Roman"/>
          <w:sz w:val="24"/>
          <w:szCs w:val="24"/>
        </w:rPr>
        <w:t xml:space="preserve"> or ᴪ</w:t>
      </w:r>
      <w:r w:rsidR="00C06FEB" w:rsidRPr="009B4C30">
        <w:rPr>
          <w:rFonts w:ascii="Times New Roman" w:hAnsi="Times New Roman" w:cs="Times New Roman"/>
          <w:sz w:val="24"/>
          <w:szCs w:val="24"/>
        </w:rPr>
        <w:t>.</w:t>
      </w:r>
      <w:r w:rsidR="00C9161F" w:rsidRPr="009B4C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238D" w:rsidRDefault="0026238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623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The silver ratio: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6265C" w:rsidRPr="009B4C3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δ</w:t>
      </w:r>
      <w:r w:rsidR="00B6265C" w:rsidRPr="009B4C3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vertAlign w:val="subscript"/>
        </w:rPr>
        <w:t>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1 + √2,</w:t>
      </w:r>
      <w:r w:rsidRPr="002623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the value of the continued fraction with just 2’s, it is also the larger solution of the equation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  <w:r w:rsidRPr="002623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m:oMath>
        <w:proofErr w:type="gramEnd"/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222222"/>
                    <w:sz w:val="24"/>
                    <w:szCs w:val="24"/>
                    <w:shd w:val="clear" w:color="auto" w:fill="FFFFFF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  <w:vertAlign w:val="subscript"/>
                  </w:rPr>
                  <m:t>s</m:t>
                </m:r>
              </m:sub>
            </m:sSub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noProof/>
            <w:color w:val="000000" w:themeColor="text1"/>
            <w:sz w:val="24"/>
            <w:szCs w:val="24"/>
          </w:rPr>
          <m:t>-2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δ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s</m:t>
            </m:r>
          </m:sub>
        </m:sSub>
        <m:r>
          <w:rPr>
            <w:rFonts w:ascii="Cambria Math" w:hAnsi="Cambria Math" w:cs="Times New Roman"/>
            <w:noProof/>
            <w:color w:val="000000" w:themeColor="text1"/>
            <w:sz w:val="24"/>
            <w:szCs w:val="24"/>
          </w:rPr>
          <m:t>-1=0</m:t>
        </m:r>
      </m:oMath>
      <w:r w:rsidRPr="002623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This goes directly into its geometric interpretations, as the diameter of an octagon and the size of a rectangle that gives a smaller version of itself when you remove two squares:</w:t>
      </w:r>
    </w:p>
    <w:p w:rsidR="0026238D" w:rsidRPr="0026238D" w:rsidRDefault="002623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762250" cy="1457325"/>
            <wp:effectExtent l="19050" t="0" r="0" b="0"/>
            <wp:docPr id="20" name="Picture 20" descr="C:\Users\OS\Desktop\SOEN 6481\sil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OS\Desktop\SOEN 6481\silve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942" w:rsidRPr="009B4C30" w:rsidRDefault="00C9161F">
      <w:pPr>
        <w:rPr>
          <w:rFonts w:ascii="Times New Roman" w:hAnsi="Times New Roman" w:cs="Times New Roman"/>
          <w:sz w:val="24"/>
          <w:szCs w:val="24"/>
        </w:rPr>
      </w:pPr>
      <w:r w:rsidRPr="009B4C30">
        <w:rPr>
          <w:rFonts w:ascii="Times New Roman" w:hAnsi="Times New Roman" w:cs="Times New Roman"/>
          <w:sz w:val="24"/>
          <w:szCs w:val="24"/>
        </w:rPr>
        <w:t xml:space="preserve">Mathematically it can be stated as follows: </w:t>
      </w:r>
    </w:p>
    <w:p w:rsidR="00E20B48" w:rsidRPr="009B4C30" w:rsidRDefault="006F0C4E" w:rsidP="006F0C4E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9B4C3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B4C3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δ</w:t>
      </w:r>
      <w:r w:rsidRPr="009B4C3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vertAlign w:val="subscript"/>
        </w:rPr>
        <w:t>S</w:t>
      </w:r>
      <w:proofErr w:type="spellEnd"/>
      <w:proofErr w:type="gramEnd"/>
      <w:r w:rsidRPr="009B4C3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vertAlign w:val="subscript"/>
        </w:rPr>
        <w:t xml:space="preserve">       </w:t>
      </w:r>
      <w:r w:rsidRPr="009B4C3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=     </w:t>
      </w:r>
      <m:oMath>
        <m:f>
          <m:fPr>
            <m:ctrlPr>
              <w:rPr>
                <w:rFonts w:ascii="Cambria Math" w:hAnsi="Cambria Math" w:cs="Times New Roman"/>
                <w:i/>
                <w:iCs/>
                <w:color w:val="222222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iCs/>
                    <w:color w:val="222222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-1</m:t>
            </m:r>
          </m:den>
        </m:f>
      </m:oMath>
      <w:r w:rsidRPr="009B4C30">
        <w:rPr>
          <w:rFonts w:ascii="Times New Roman" w:hAnsi="Times New Roman" w:cs="Times New Roman"/>
          <w:sz w:val="24"/>
          <w:szCs w:val="24"/>
        </w:rPr>
        <w:t xml:space="preserve">  =  √2+1  ≈ 2.4142135623 ,   can be defined as </w:t>
      </w:r>
      <w:r w:rsidRPr="009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analogous continued fraction </w:t>
      </w:r>
      <w:r w:rsidR="00244768" w:rsidRPr="009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</w:t>
      </w:r>
      <w:r w:rsidRPr="009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ith all coefficients equal to 2.</w:t>
      </w:r>
      <w:r w:rsidRPr="009B4C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4C30" w:rsidRDefault="000111F7" w:rsidP="006F0C4E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9B4C30"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aracteristics</w:t>
      </w:r>
      <w:r w:rsidR="006A05E1">
        <w:rPr>
          <w:rFonts w:ascii="Times New Roman" w:hAnsi="Times New Roman" w:cs="Times New Roman"/>
          <w:sz w:val="24"/>
          <w:szCs w:val="24"/>
        </w:rPr>
        <w:t xml:space="preserve"> of silver ratio:</w:t>
      </w:r>
    </w:p>
    <w:p w:rsidR="009C36D2" w:rsidRPr="006A05E1" w:rsidRDefault="009C36D2" w:rsidP="006A05E1">
      <w:pPr>
        <w:pStyle w:val="ListParagraph"/>
        <w:numPr>
          <w:ilvl w:val="0"/>
          <w:numId w:val="1"/>
        </w:num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6A05E1">
        <w:rPr>
          <w:rFonts w:ascii="Times New Roman" w:hAnsi="Times New Roman" w:cs="Times New Roman"/>
          <w:sz w:val="24"/>
          <w:szCs w:val="24"/>
        </w:rPr>
        <w:t>Used in Buddha statues</w:t>
      </w:r>
      <w:r w:rsidR="006A05E1">
        <w:rPr>
          <w:rFonts w:ascii="Times New Roman" w:hAnsi="Times New Roman" w:cs="Times New Roman"/>
          <w:sz w:val="24"/>
          <w:szCs w:val="24"/>
        </w:rPr>
        <w:t>.</w:t>
      </w:r>
    </w:p>
    <w:p w:rsidR="009C36D2" w:rsidRPr="006A05E1" w:rsidRDefault="009C36D2" w:rsidP="006A05E1">
      <w:pPr>
        <w:pStyle w:val="ListParagraph"/>
        <w:numPr>
          <w:ilvl w:val="0"/>
          <w:numId w:val="1"/>
        </w:num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6A05E1">
        <w:rPr>
          <w:rFonts w:ascii="Times New Roman" w:hAnsi="Times New Roman" w:cs="Times New Roman"/>
          <w:sz w:val="24"/>
          <w:szCs w:val="24"/>
        </w:rPr>
        <w:t>Anime characters</w:t>
      </w:r>
      <w:r w:rsidR="006A05E1">
        <w:rPr>
          <w:rFonts w:ascii="Times New Roman" w:hAnsi="Times New Roman" w:cs="Times New Roman"/>
          <w:sz w:val="24"/>
          <w:szCs w:val="24"/>
        </w:rPr>
        <w:t>.</w:t>
      </w:r>
    </w:p>
    <w:p w:rsidR="009C36D2" w:rsidRPr="006A05E1" w:rsidRDefault="009C36D2" w:rsidP="006A05E1">
      <w:pPr>
        <w:pStyle w:val="ListParagraph"/>
        <w:numPr>
          <w:ilvl w:val="0"/>
          <w:numId w:val="1"/>
        </w:num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6A05E1">
        <w:rPr>
          <w:rFonts w:ascii="Times New Roman" w:hAnsi="Times New Roman" w:cs="Times New Roman"/>
          <w:sz w:val="24"/>
          <w:szCs w:val="24"/>
        </w:rPr>
        <w:t>Architectures</w:t>
      </w:r>
      <w:r w:rsidR="006A05E1">
        <w:rPr>
          <w:rFonts w:ascii="Times New Roman" w:hAnsi="Times New Roman" w:cs="Times New Roman"/>
          <w:sz w:val="24"/>
          <w:szCs w:val="24"/>
        </w:rPr>
        <w:t>.</w:t>
      </w:r>
    </w:p>
    <w:p w:rsidR="009C36D2" w:rsidRPr="006A05E1" w:rsidRDefault="009C36D2" w:rsidP="006A05E1">
      <w:pPr>
        <w:pStyle w:val="ListParagraph"/>
        <w:numPr>
          <w:ilvl w:val="0"/>
          <w:numId w:val="1"/>
        </w:num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6A05E1">
        <w:rPr>
          <w:rFonts w:ascii="Times New Roman" w:hAnsi="Times New Roman" w:cs="Times New Roman"/>
          <w:sz w:val="24"/>
          <w:szCs w:val="24"/>
        </w:rPr>
        <w:t>Nature</w:t>
      </w:r>
      <w:r w:rsidR="006A05E1">
        <w:rPr>
          <w:rFonts w:ascii="Times New Roman" w:hAnsi="Times New Roman" w:cs="Times New Roman"/>
          <w:sz w:val="24"/>
          <w:szCs w:val="24"/>
        </w:rPr>
        <w:t>.</w:t>
      </w:r>
    </w:p>
    <w:p w:rsidR="009C36D2" w:rsidRPr="00982439" w:rsidRDefault="009C36D2" w:rsidP="006A05E1">
      <w:pPr>
        <w:pStyle w:val="ListParagraph"/>
        <w:numPr>
          <w:ilvl w:val="0"/>
          <w:numId w:val="1"/>
        </w:num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982439">
        <w:rPr>
          <w:rFonts w:ascii="Times New Roman" w:hAnsi="Times New Roman" w:cs="Times New Roman"/>
          <w:sz w:val="24"/>
          <w:szCs w:val="24"/>
        </w:rPr>
        <w:t>Modern painting</w:t>
      </w:r>
      <w:r w:rsidR="00982439" w:rsidRPr="00982439">
        <w:rPr>
          <w:rFonts w:ascii="Times New Roman" w:hAnsi="Times New Roman" w:cs="Times New Roman"/>
          <w:sz w:val="24"/>
          <w:szCs w:val="24"/>
        </w:rPr>
        <w:t>,</w:t>
      </w:r>
      <w:r w:rsidR="00982439">
        <w:rPr>
          <w:rFonts w:ascii="Times New Roman" w:hAnsi="Times New Roman" w:cs="Times New Roman"/>
          <w:sz w:val="24"/>
          <w:szCs w:val="24"/>
        </w:rPr>
        <w:t xml:space="preserve"> </w:t>
      </w:r>
      <w:r w:rsidRPr="00982439">
        <w:rPr>
          <w:rFonts w:ascii="Times New Roman" w:hAnsi="Times New Roman" w:cs="Times New Roman"/>
          <w:sz w:val="24"/>
          <w:szCs w:val="24"/>
        </w:rPr>
        <w:t>Music.</w:t>
      </w:r>
    </w:p>
    <w:p w:rsidR="004778ED" w:rsidRDefault="000111F7" w:rsidP="006F0C4E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Silver ratio is unique and used rather than golden ratio because it creates a design that is more beautiful and serene than the divine proportion.</w:t>
      </w:r>
      <w:r w:rsidR="00D93189">
        <w:rPr>
          <w:rFonts w:ascii="Times New Roman" w:hAnsi="Times New Roman" w:cs="Times New Roman"/>
          <w:sz w:val="24"/>
          <w:szCs w:val="24"/>
        </w:rPr>
        <w:t xml:space="preserve"> In Japan silver ratio is used in many places such as:</w:t>
      </w:r>
    </w:p>
    <w:p w:rsidR="000B0028" w:rsidRDefault="00C2027D" w:rsidP="006F0C4E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="000B0028">
        <w:rPr>
          <w:rFonts w:ascii="Times New Roman" w:hAnsi="Times New Roman" w:cs="Times New Roman"/>
          <w:sz w:val="24"/>
          <w:szCs w:val="24"/>
        </w:rPr>
        <w:t>Horyu-ji</w:t>
      </w:r>
      <w:proofErr w:type="spellEnd"/>
      <w:r w:rsidR="000B0028">
        <w:rPr>
          <w:rFonts w:ascii="Times New Roman" w:hAnsi="Times New Roman" w:cs="Times New Roman"/>
          <w:sz w:val="24"/>
          <w:szCs w:val="24"/>
        </w:rPr>
        <w:t xml:space="preserve"> temple in </w:t>
      </w:r>
      <w:proofErr w:type="spellStart"/>
      <w:r w:rsidR="000B0028">
        <w:rPr>
          <w:rFonts w:ascii="Times New Roman" w:hAnsi="Times New Roman" w:cs="Times New Roman"/>
          <w:sz w:val="24"/>
          <w:szCs w:val="24"/>
        </w:rPr>
        <w:t>Ikagura</w:t>
      </w:r>
      <w:proofErr w:type="spellEnd"/>
      <w:r w:rsidR="000B0028">
        <w:rPr>
          <w:rFonts w:ascii="Times New Roman" w:hAnsi="Times New Roman" w:cs="Times New Roman"/>
          <w:sz w:val="24"/>
          <w:szCs w:val="24"/>
        </w:rPr>
        <w:t>, Nara Prefecture, Japan is one of the famous example</w:t>
      </w:r>
      <w:r w:rsidR="006A05E1">
        <w:rPr>
          <w:rFonts w:ascii="Times New Roman" w:hAnsi="Times New Roman" w:cs="Times New Roman"/>
          <w:sz w:val="24"/>
          <w:szCs w:val="24"/>
        </w:rPr>
        <w:t>s</w:t>
      </w:r>
      <w:r w:rsidR="000B0028">
        <w:rPr>
          <w:rFonts w:ascii="Times New Roman" w:hAnsi="Times New Roman" w:cs="Times New Roman"/>
          <w:sz w:val="24"/>
          <w:szCs w:val="24"/>
        </w:rPr>
        <w:t xml:space="preserve"> of the use of the silver ratio.</w:t>
      </w:r>
      <w:r>
        <w:rPr>
          <w:rFonts w:ascii="Times New Roman" w:hAnsi="Times New Roman" w:cs="Times New Roman"/>
          <w:sz w:val="24"/>
          <w:szCs w:val="24"/>
        </w:rPr>
        <w:t xml:space="preserve"> It is the Buddhist temple with one of the oldest wooden building of the world. The relation between the first roof</w:t>
      </w:r>
      <w:r w:rsidR="00773013">
        <w:rPr>
          <w:rFonts w:ascii="Times New Roman" w:hAnsi="Times New Roman" w:cs="Times New Roman"/>
          <w:sz w:val="24"/>
          <w:szCs w:val="24"/>
        </w:rPr>
        <w:t xml:space="preserve"> and the last roof is determined by silver ratio.</w:t>
      </w:r>
    </w:p>
    <w:p w:rsidR="00773013" w:rsidRDefault="00773013" w:rsidP="006F0C4E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Another example is Tokyo </w:t>
      </w:r>
      <w:proofErr w:type="spellStart"/>
      <w:r>
        <w:rPr>
          <w:rFonts w:ascii="Times New Roman" w:hAnsi="Times New Roman" w:cs="Times New Roman"/>
          <w:sz w:val="24"/>
          <w:szCs w:val="24"/>
        </w:rPr>
        <w:t>Skytree</w:t>
      </w:r>
      <w:proofErr w:type="spellEnd"/>
      <w:r>
        <w:rPr>
          <w:rFonts w:ascii="Times New Roman" w:hAnsi="Times New Roman" w:cs="Times New Roman"/>
          <w:sz w:val="24"/>
          <w:szCs w:val="24"/>
        </w:rPr>
        <w:t>. It is one of the world’s tallest tower</w:t>
      </w:r>
      <w:r w:rsidR="006A05E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having two observatories and a digital broadcasting antenna at the top.</w:t>
      </w:r>
      <w:r w:rsidR="009B3296">
        <w:rPr>
          <w:rFonts w:ascii="Times New Roman" w:hAnsi="Times New Roman" w:cs="Times New Roman"/>
          <w:sz w:val="24"/>
          <w:szCs w:val="24"/>
        </w:rPr>
        <w:t xml:space="preserve"> There is a silver ratio relation between the distance of the floor to the second observatory and the distance between the floor and top of the tower.</w:t>
      </w:r>
    </w:p>
    <w:sectPr w:rsidR="00773013" w:rsidSect="001F2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57795"/>
    <w:multiLevelType w:val="hybridMultilevel"/>
    <w:tmpl w:val="D340D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88307E"/>
    <w:multiLevelType w:val="hybridMultilevel"/>
    <w:tmpl w:val="2E9432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2D1D"/>
    <w:rsid w:val="000111F7"/>
    <w:rsid w:val="000B0028"/>
    <w:rsid w:val="00131942"/>
    <w:rsid w:val="001F2BA4"/>
    <w:rsid w:val="00244768"/>
    <w:rsid w:val="0026238D"/>
    <w:rsid w:val="002B75E2"/>
    <w:rsid w:val="004778ED"/>
    <w:rsid w:val="004E5E5B"/>
    <w:rsid w:val="00595270"/>
    <w:rsid w:val="005C45D1"/>
    <w:rsid w:val="0062398B"/>
    <w:rsid w:val="0067577C"/>
    <w:rsid w:val="006A05E1"/>
    <w:rsid w:val="006F0C4E"/>
    <w:rsid w:val="00773013"/>
    <w:rsid w:val="00982439"/>
    <w:rsid w:val="00984D0B"/>
    <w:rsid w:val="009A621B"/>
    <w:rsid w:val="009B3296"/>
    <w:rsid w:val="009B4C30"/>
    <w:rsid w:val="009C36D2"/>
    <w:rsid w:val="00A21BB4"/>
    <w:rsid w:val="00A70CB1"/>
    <w:rsid w:val="00B6265C"/>
    <w:rsid w:val="00C06FEB"/>
    <w:rsid w:val="00C2027D"/>
    <w:rsid w:val="00C9161F"/>
    <w:rsid w:val="00D66AFF"/>
    <w:rsid w:val="00D93189"/>
    <w:rsid w:val="00DE2D1D"/>
    <w:rsid w:val="00E20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161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9A62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2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05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BB55B-22CD-46B3-B208-3FFBB6012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</dc:creator>
  <cp:lastModifiedBy>OS</cp:lastModifiedBy>
  <cp:revision>11</cp:revision>
  <dcterms:created xsi:type="dcterms:W3CDTF">2019-07-06T03:23:00Z</dcterms:created>
  <dcterms:modified xsi:type="dcterms:W3CDTF">2019-07-08T22:17:00Z</dcterms:modified>
</cp:coreProperties>
</file>