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Immune-Related Adverse Events (irAEs) associated with Immune Checkpoint Inhibitor (ICI) Therapy in Bladder Cancer: An Analysis of the FDA Adverse Event Reporting System (FAERS)</w:t>
      </w:r>
    </w:p>
    <w:p>
      <w:pPr>
        <w:pStyle w:val="Author"/>
      </w:pPr>
      <w:r>
        <w:t xml:space="preserve">Pooja Gokhale, PharmD</w:t>
      </w:r>
    </w:p>
    <w:p>
      <w:pPr>
        <w:pStyle w:val="FirstParagraph"/>
      </w:pPr>
      <w:r>
        <w:rPr>
          <w:b/>
          <w:bCs/>
        </w:rPr>
        <w:t xml:space="preserve">Authors</w:t>
      </w:r>
    </w:p>
    <w:p>
      <w:pPr>
        <w:pStyle w:val="Compact"/>
        <w:numPr>
          <w:ilvl w:val="0"/>
          <w:numId w:val="1001"/>
        </w:numPr>
      </w:pPr>
      <w:r>
        <w:t xml:space="preserve">Pooja Gokhale, PharmD</w:t>
      </w:r>
      <m:oMath>
        <m:sSup>
          <m:e>
            <m:r>
              <m:t>​</m:t>
            </m:r>
          </m:e>
          <m:sup>
            <m:r>
              <m:t>1</m:t>
            </m:r>
          </m:sup>
        </m:sSup>
      </m:oMath>
      <w:r>
        <w:t xml:space="preserve"> </w:t>
      </w:r>
      <w:r>
        <w:t xml:space="preserve">(ORCID: 0000-0002-7505-7007)</w:t>
      </w:r>
    </w:p>
    <w:p>
      <w:pPr>
        <w:pStyle w:val="FirstParagraph"/>
      </w:pPr>
      <w:r>
        <w:rPr>
          <w:b/>
          <w:bCs/>
        </w:rPr>
        <w:t xml:space="preserve">Author affiliations</w:t>
      </w:r>
    </w:p>
    <w:p>
      <w:pPr>
        <w:pStyle w:val="Compact"/>
        <w:numPr>
          <w:ilvl w:val="0"/>
          <w:numId w:val="1002"/>
        </w:numPr>
      </w:pPr>
      <w:r>
        <w:t xml:space="preserve">Department of Clinical and Administrative Pharmacy, College of Pharmacy, University of Georgia, Athens, GA, USA.</w:t>
      </w:r>
    </w:p>
    <w:p>
      <w:pPr>
        <w:pStyle w:val="FirstParagraph"/>
      </w:pPr>
      <m:oMath>
        <m:r>
          <m:rPr>
            <m:sty m:val="p"/>
          </m:rPr>
          <m:t>∧</m:t>
        </m:r>
      </m:oMath>
      <w:r>
        <w:t xml:space="preserve"> </w:t>
      </w:r>
      <w:r>
        <w:t xml:space="preserve">Corresponding author: poojaGokhale@uga.edu</w:t>
      </w:r>
    </w:p>
    <w:p>
      <w:r>
        <w:br w:type="page"/>
      </w:r>
    </w:p>
    <w:bookmarkStart w:id="20" w:name="summaryabstract"/>
    <w:p>
      <w:pPr>
        <w:pStyle w:val="Heading1"/>
      </w:pPr>
      <w:r>
        <w:t xml:space="preserve">1. Summary/Abstract</w:t>
      </w:r>
    </w:p>
    <w:p>
      <w:pPr>
        <w:pStyle w:val="FirstParagraph"/>
      </w:pPr>
      <w:r>
        <w:rPr>
          <w:i/>
          <w:iCs/>
        </w:rPr>
        <w:t xml:space="preserve">Write a summary of your project.</w:t>
      </w:r>
      <w:r>
        <w:t xml:space="preserve"> </w:t>
      </w:r>
      <w:r>
        <w:rPr>
          <w:i/>
          <w:iCs/>
        </w:rPr>
        <w:t xml:space="preserve">This part has not been completed. The source code has been left as is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i/>
          <w:iCs/>
        </w:rPr>
        <w:t xml:space="preserve">Bladder cancer is the ninth most common type of cancer, according to a 2022 report published by the International Agency for Research on Cancer</w:t>
      </w:r>
      <w:r>
        <w:rPr>
          <w:i/>
          <w:iCs/>
          <w:vertAlign w:val="superscript"/>
        </w:rPr>
        <w:t xml:space="preserve">1</w:t>
      </w:r>
      <w:r>
        <w:rPr>
          <w:i/>
          <w:iCs/>
        </w:rPr>
        <w:t xml:space="preserve">. The American Cancer Society estimates approximately 85,000 new bladder cancer cases, and approximately 17,000 bladder cancer deaths in the United States in 2025.</w:t>
      </w:r>
    </w:p>
    <w:p>
      <w:pPr>
        <w:pStyle w:val="BodyText"/>
      </w:pPr>
      <w:r>
        <w:rPr>
          <w:i/>
          <w:iCs/>
        </w:rPr>
        <w:t xml:space="preserve">The cancer is more common in males than in females, with a male:female ratio of about 4:1</w:t>
      </w:r>
      <w:r>
        <w:rPr>
          <w:i/>
          <w:iCs/>
          <w:vertAlign w:val="superscript"/>
        </w:rPr>
        <w:t xml:space="preserve">2</w:t>
      </w:r>
      <w:r>
        <w:rPr>
          <w:i/>
          <w:iCs/>
        </w:rPr>
        <w:t xml:space="preserve">. Risk factors for bladder cancer include smoking and occupational chemical exposures (in particular, aromatic amines and polycyclic aromatic hydrocarbons). Certain dietary factors, impaired microbiome, and pelvic radiotherapy may also increase the risk of bladder cancer</w:t>
      </w:r>
      <w:r>
        <w:rPr>
          <w:i/>
          <w:iCs/>
          <w:vertAlign w:val="superscript"/>
        </w:rPr>
        <w:t xml:space="preserve">3</w:t>
      </w:r>
      <w:r>
        <w:rPr>
          <w:i/>
          <w:iCs/>
        </w:rPr>
        <w:t xml:space="preserve">.</w:t>
      </w:r>
    </w:p>
    <w:p>
      <w:pPr>
        <w:pStyle w:val="BodyText"/>
      </w:pPr>
      <w:r>
        <w:rPr>
          <w:i/>
          <w:iCs/>
        </w:rPr>
        <w:t xml:space="preserve">Treatment of bladder cancer is multifaceted and depends on the type of tumor. Surgical resection, adjuvant and intravesical chemotherapy, Bacillus Calmette–Guérin (BCG) immunotherapy, and systemic chemotherapy are the different treatment options available</w:t>
      </w:r>
      <w:r>
        <w:rPr>
          <w:i/>
          <w:iCs/>
          <w:vertAlign w:val="superscript"/>
        </w:rPr>
        <w:t xml:space="preserve">2</w:t>
      </w:r>
      <w:r>
        <w:rPr>
          <w:i/>
          <w:iCs/>
        </w:rPr>
        <w:t xml:space="preserve">.</w:t>
      </w:r>
    </w:p>
    <w:p>
      <w:pPr>
        <w:pStyle w:val="BodyText"/>
      </w:pPr>
      <w:r>
        <w:rPr>
          <w:i/>
          <w:iCs/>
        </w:rPr>
        <w:t xml:space="preserve">According to the National comprehensive Cancer Network (NCCN) guidelines, immunotherapy with immune checkpoint inhibitors (ICIs) is recommended at various stages of bladder cancer treatment. ICIs such as pembrolizumab, atezolizumab, nivolumab, and avelumab are FDA approved and recommended for the adjuvant and first and second-line treatment of bladder cancer</w:t>
      </w:r>
      <w:r>
        <w:rPr>
          <w:i/>
          <w:iCs/>
          <w:vertAlign w:val="superscript"/>
        </w:rPr>
        <w:t xml:space="preserve">4</w:t>
      </w:r>
      <w:r>
        <w:rPr>
          <w:i/>
          <w:iCs/>
        </w:rPr>
        <w:t xml:space="preserve">.</w:t>
      </w:r>
    </w:p>
    <w:p>
      <w:pPr>
        <w:pStyle w:val="BodyText"/>
      </w:pPr>
      <w:r>
        <w:rPr>
          <w:i/>
          <w:iCs/>
        </w:rPr>
        <w:t xml:space="preserve">ICIs are associated with various adverse effects, particularly with immune-related adverse events (irAEs) such as pnemonitis, hepatitis, colitis, hypothyroidism, dermatitis, and others</w:t>
      </w:r>
      <w:r>
        <w:rPr>
          <w:i/>
          <w:iCs/>
          <w:vertAlign w:val="superscript"/>
        </w:rPr>
        <w:t xml:space="preserve">5</w:t>
      </w:r>
      <w:r>
        <w:rPr>
          <w:i/>
          <w:iCs/>
        </w:rPr>
        <w:t xml:space="preserve">.This study aims to analyze real-world adverse event data from the FDA Adverse Event Reporting System associated with ICI therapy in bladder cancer.</w:t>
      </w:r>
    </w:p>
    <w:bookmarkEnd w:id="21"/>
    <w:bookmarkStart w:id="22" w:name="description-of-data-and-data-source"/>
    <w:p>
      <w:pPr>
        <w:pStyle w:val="Heading2"/>
      </w:pPr>
      <w:r>
        <w:t xml:space="preserve">2.2 Description of data and data source</w:t>
      </w:r>
    </w:p>
    <w:p>
      <w:pPr>
        <w:pStyle w:val="FirstParagraph"/>
      </w:pPr>
      <w:r>
        <w:rPr>
          <w:i/>
          <w:iCs/>
        </w:rPr>
        <w:t xml:space="preserve">The United States Food and Drug Administration (FDA) maintains a dashboard of adverse event reports in the FDA Adverse Event Reporting System (FAERS)</w:t>
      </w:r>
      <w:r>
        <w:rPr>
          <w:i/>
          <w:iCs/>
          <w:vertAlign w:val="superscript"/>
        </w:rPr>
        <w:t xml:space="preserve">6</w:t>
      </w:r>
      <w:r>
        <w:rPr>
          <w:i/>
          <w:iCs/>
        </w:rPr>
        <w:t xml:space="preserve">. FAERS is a publicly available dashboard of safety reports submitted by patients, healthcare professionals, and pharmaceutical companies.</w:t>
      </w:r>
    </w:p>
    <w:p>
      <w:pPr>
        <w:pStyle w:val="BodyText"/>
      </w:pPr>
      <w:r>
        <w:rPr>
          <w:i/>
          <w:iCs/>
        </w:rPr>
        <w:t xml:space="preserve">Since FAERS consists of self-reported data from multiple sources, there may be duplicates, missing data as well as various errors. The findings of this study should be considered in context of this data limitation.</w:t>
      </w:r>
    </w:p>
    <w:bookmarkEnd w:id="22"/>
    <w:bookmarkStart w:id="23" w:name="questionshypotheses-to-be-addressed"/>
    <w:p>
      <w:pPr>
        <w:pStyle w:val="Heading2"/>
      </w:pPr>
      <w:r>
        <w:t xml:space="preserve">2.3 Questions/Hypotheses to be addressed</w:t>
      </w:r>
    </w:p>
    <w:p>
      <w:pPr>
        <w:pStyle w:val="FirstParagraph"/>
      </w:pPr>
      <w:r>
        <w:rPr>
          <w:i/>
          <w:iCs/>
        </w:rPr>
        <w:t xml:space="preserve">The study aims to analyze whether irAEs associated with ICIs generate a signal of disproportionate reporting (SDR). The goal is to determine whether irAEs associated with ICIs in baldder cancer are greater than expected, and thus further research and strategies to deal with these adverse events is required.</w:t>
      </w:r>
    </w:p>
    <w:p>
      <w:r>
        <w:br w:type="page"/>
      </w:r>
    </w:p>
    <w:bookmarkEnd w:id="23"/>
    <w:bookmarkEnd w:id="24"/>
    <w:bookmarkStart w:id="28"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r>
        <w:t xml:space="preserve"> </w:t>
      </w:r>
      <w:r>
        <w:rPr>
          <w:i/>
          <w:iCs/>
        </w:rPr>
        <w:t xml:space="preserve">This part has not been completed. The source code has been left as is</w:t>
      </w:r>
      <w:r>
        <w:t xml:space="preserve"> </w:t>
      </w:r>
      <w:r>
        <w:rPr>
          <w:i/>
          <w:iCs/>
        </w:rPr>
        <w:t xml:space="preserve">Details have been provided in the data acquisition and statistical analysis parts.</w:t>
      </w:r>
    </w:p>
    <w:bookmarkStart w:id="25" w:name="data-aquisition"/>
    <w:p>
      <w:pPr>
        <w:pStyle w:val="Heading2"/>
      </w:pPr>
      <w:r>
        <w:t xml:space="preserve">3.1 Data aquisition</w:t>
      </w:r>
    </w:p>
    <w:p>
      <w:pPr>
        <w:pStyle w:val="FirstParagraph"/>
      </w:pPr>
      <w:r>
        <w:rPr>
          <w:i/>
          <w:iCs/>
        </w:rPr>
        <w:t xml:space="preserve">In order to obtain the FAERS data, the ICIs were used to search by product. Pembrolizumab, atezolizumab, avelumab, and nivolumab were the keywords used. Previously, durvalumab, and ipilimumab were also approved for bladder cancer treatment. However, this indication has since then been removed by the manufacturers. As such, these were not considered. Following this, the search was limited to cases of bladder cancer. A total of 1,886 reactions were obtained.</w:t>
      </w:r>
    </w:p>
    <w:bookmarkEnd w:id="25"/>
    <w:bookmarkStart w:id="26" w:name="data-import-and-cleaning"/>
    <w:p>
      <w:pPr>
        <w:pStyle w:val="Heading2"/>
      </w:pPr>
      <w:r>
        <w:t xml:space="preserve">3.2 Data import and cleaning</w:t>
      </w:r>
    </w:p>
    <w:p>
      <w:pPr>
        <w:pStyle w:val="FirstParagraph"/>
      </w:pPr>
      <w:r>
        <w:rPr>
          <w:i/>
          <w:iCs/>
        </w:rPr>
        <w:t xml:space="preserve">The file has been downloaded as an Excel file. The code for the analysis would involve loading the file, removing duplicates, assessing missing data, and deciding whether to remove it.</w:t>
      </w:r>
      <w:r>
        <w:t xml:space="preserve"> </w:t>
      </w:r>
      <w:r>
        <w:rPr>
          <w:i/>
          <w:iCs/>
        </w:rPr>
        <w:t xml:space="preserve">This will be followed by filtering the data to retain only irAEs. While this step could be performed within the FAERS dashboard, this is not always a straightforward process. FAERS writes all the reactions associated with an agent in a single column, such that one column may have over 10-15 reactions. As such, this step will be performed here.</w:t>
      </w:r>
    </w:p>
    <w:p>
      <w:pPr>
        <w:pStyle w:val="BodyText"/>
      </w:pPr>
      <w:r>
        <w:rPr>
          <w:i/>
          <w:iCs/>
        </w:rPr>
        <w:t xml:space="preserve">The FAERS data initially consisted of 2948 reactions associated with ICIs in bladder cancer.</w:t>
      </w:r>
    </w:p>
    <w:p>
      <w:pPr>
        <w:pStyle w:val="BodyText"/>
      </w:pPr>
      <w:r>
        <w:rPr>
          <w:i/>
          <w:iCs/>
        </w:rPr>
        <w:t xml:space="preserve">Reactions with concomitant suspect products, combination products, and those which were not irAEs were removed. This resulted in a total of 369 cases. The details are available in the processing code file.</w:t>
      </w:r>
    </w:p>
    <w:bookmarkEnd w:id="26"/>
    <w:bookmarkStart w:id="27" w:name="statistical-analysis"/>
    <w:p>
      <w:pPr>
        <w:pStyle w:val="Heading2"/>
      </w:pPr>
      <w:r>
        <w:t xml:space="preserve">3.3 Statistical analysis</w:t>
      </w:r>
    </w:p>
    <w:p>
      <w:pPr>
        <w:pStyle w:val="FirstParagraph"/>
      </w:pPr>
      <w:r>
        <w:rPr>
          <w:i/>
          <w:iCs/>
        </w:rPr>
        <w:t xml:space="preserve">The first of the analysis will consists of descriptive statistics. Continous variables will be summarized as means, whereas categorical variables will be summarized as counts and percenatges.</w:t>
      </w:r>
    </w:p>
    <w:p>
      <w:pPr>
        <w:pStyle w:val="BodyText"/>
      </w:pPr>
      <w:r>
        <w:rPr>
          <w:i/>
          <w:iCs/>
        </w:rPr>
        <w:t xml:space="preserve">The second part of the analysis will involve a disproportionality analysis. This analysis uses the following formula to calculate the reported odds ratio (ROR).</w:t>
      </w:r>
    </w:p>
    <w:p>
      <w:pPr>
        <w:pStyle w:val="BodyText"/>
      </w:pPr>
      <w:r>
        <w:rPr>
          <w:i/>
          <w:iCs/>
        </w:rPr>
        <w:t xml:space="preserve">a = irAES reported with ICIs</w:t>
      </w:r>
      <w:r>
        <w:t xml:space="preserve"> </w:t>
      </w:r>
      <w:r>
        <w:rPr>
          <w:i/>
          <w:iCs/>
        </w:rPr>
        <w:t xml:space="preserve">b = irAEs reported with all other drugs</w:t>
      </w:r>
      <w:r>
        <w:t xml:space="preserve"> </w:t>
      </w:r>
      <w:r>
        <w:rPr>
          <w:i/>
          <w:iCs/>
        </w:rPr>
        <w:t xml:space="preserve">c = All other AEs reported with ICIs</w:t>
      </w:r>
      <w:r>
        <w:t xml:space="preserve"> </w:t>
      </w:r>
      <w:r>
        <w:rPr>
          <w:i/>
          <w:iCs/>
        </w:rPr>
        <w:t xml:space="preserve">d = All other AEs reported with other drugs</w:t>
      </w:r>
    </w:p>
    <w:p>
      <w:pPr>
        <w:pStyle w:val="BodyText"/>
      </w:pPr>
      <w:r>
        <w:rPr>
          <w:i/>
          <w:iCs/>
        </w:rPr>
        <w:t xml:space="preserve">ROR = a/c / b/d</w:t>
      </w:r>
    </w:p>
    <w:p>
      <w:pPr>
        <w:pStyle w:val="BodyText"/>
      </w:pPr>
      <w:r>
        <w:rPr>
          <w:i/>
          <w:iCs/>
        </w:rPr>
        <w:t xml:space="preserve">Other details in the analysis will be finalized later.</w:t>
      </w:r>
    </w:p>
    <w:p>
      <w:r>
        <w:br w:type="page"/>
      </w:r>
    </w:p>
    <w:bookmarkEnd w:id="27"/>
    <w:bookmarkEnd w:id="28"/>
    <w:bookmarkStart w:id="41" w:name="results"/>
    <w:p>
      <w:pPr>
        <w:pStyle w:val="Heading1"/>
      </w:pPr>
      <w:r>
        <w:t xml:space="preserve">4. Results</w:t>
      </w:r>
    </w:p>
    <w:p>
      <w:pPr>
        <w:pStyle w:val="FirstParagraph"/>
      </w:pPr>
      <w:r>
        <w:rPr>
          <w:i/>
          <w:iCs/>
        </w:rPr>
        <w:t xml:space="preserve">This part has not been completed. The source code has been left as is</w:t>
      </w:r>
    </w:p>
    <w:bookmarkStart w:id="30"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rPr>
          <w:i/>
          <w:iCs/>
        </w:rPr>
        <w:t xml:space="preserve">provides the patient characteristics, and summary of reactions by type of immune checkpoint inhibitor, and organ system affected.</w:t>
      </w:r>
    </w:p>
    <w:p>
      <w:pPr>
        <w:pStyle w:val="BodyText"/>
      </w:pPr>
      <w:r>
        <w:rPr>
          <w:i/>
          <w:iCs/>
        </w:rPr>
        <w:t xml:space="preserve">The mean age reported was 66.94±17.65. A large percentage of the reactions occurred in males (70.2%). This may be because bladder cancer is much more common in males than in females.</w:t>
      </w:r>
    </w:p>
    <w:p>
      <w:pPr>
        <w:pStyle w:val="BodyText"/>
      </w:pPr>
      <w:r>
        <w:rPr>
          <w:i/>
          <w:iCs/>
        </w:rPr>
        <w:t xml:space="preserve">Over 60% of the reactions were associated with pembrolizumab. A majority of the reactions were serious (83.7%)</w:t>
      </w:r>
    </w:p>
    <w:tbl>
      <w:tblPr>
        <w:tblStyle w:val="Table"/>
        <w:tblW w:type="pct" w:w="5000"/>
        <w:tblLayout w:type="fixed"/>
        <w:tblLook w:firstRow="0" w:lastRow="0" w:firstColumn="0" w:lastColumn="0" w:noHBand="0" w:noVBand="0" w:val="0000"/>
      </w:tblPr>
      <w:tblGrid>
        <w:gridCol w:w="7920"/>
      </w:tblGrid>
      <w:tr>
        <w:tc>
          <w:tcPr/>
          <w:bookmarkStart w:id="29" w:name="tbl-summarytable"/>
          <w:p>
            <w:pPr>
              <w:jc w:val="center"/>
            </w:pPr>
            <w:pPr>
              <w:jc w:val="start"/>
              <w:spacing w:before="200"/>
              <w:pStyle w:val="ImageCaption"/>
            </w:pPr>
            <w:r>
              <w:t xml:space="preserve">Table 1: Table 1: Descriptive Statistics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Category</w:t>
                  </w:r>
                </w:p>
              </w:tc>
              <w:tc>
                <w:tcPr/>
                <w:p>
                  <w:pPr>
                    <w:pStyle w:val="Compact"/>
                    <w:jc w:val="left"/>
                    <w:jc w:val="center"/>
                  </w:pPr>
                  <w:r>
                    <w:t xml:space="preserve">Value</w:t>
                  </w:r>
                </w:p>
              </w:tc>
            </w:tr>
            <w:tr>
              <w:tc>
                <w:tcPr/>
                <w:p>
                  <w:pPr>
                    <w:pStyle w:val="Compact"/>
                    <w:jc w:val="left"/>
                    <w:jc w:val="center"/>
                  </w:pPr>
                  <w:r>
                    <w:t xml:space="preserve">Age</w:t>
                  </w:r>
                </w:p>
              </w:tc>
              <w:tc>
                <w:tcPr/>
                <w:p>
                  <w:pPr>
                    <w:pStyle w:val="Compact"/>
                    <w:jc w:val="left"/>
                    <w:jc w:val="center"/>
                  </w:pPr>
                  <w:r>
                    <w:t xml:space="preserve">66.94 ± 17.65</w:t>
                  </w:r>
                </w:p>
              </w:tc>
            </w:tr>
            <w:tr>
              <w:tc>
                <w:tcPr/>
                <w:p>
                  <w:pPr>
                    <w:pStyle w:val="Compact"/>
                    <w:jc w:val="left"/>
                    <w:jc w:val="center"/>
                  </w:pPr>
                  <w:r>
                    <w:t xml:space="preserve">Sex</w:t>
                  </w:r>
                </w:p>
              </w:tc>
              <w:tc>
                <w:tcPr/>
                <w:p>
                  <w:pPr>
                    <w:pStyle w:val="Compact"/>
                  </w:pPr>
                </w:p>
              </w:tc>
            </w:tr>
            <w:tr>
              <w:tc>
                <w:tcPr/>
                <w:p>
                  <w:pPr>
                    <w:pStyle w:val="Compact"/>
                    <w:jc w:val="left"/>
                    <w:jc w:val="center"/>
                  </w:pPr>
                  <w:r>
                    <w:t xml:space="preserve">Female</w:t>
                  </w:r>
                </w:p>
              </w:tc>
              <w:tc>
                <w:tcPr/>
                <w:p>
                  <w:pPr>
                    <w:pStyle w:val="Compact"/>
                    <w:jc w:val="left"/>
                    <w:jc w:val="center"/>
                  </w:pPr>
                  <w:r>
                    <w:t xml:space="preserve">76 (20.6%)</w:t>
                  </w:r>
                </w:p>
              </w:tc>
            </w:tr>
            <w:tr>
              <w:tc>
                <w:tcPr/>
                <w:p>
                  <w:pPr>
                    <w:pStyle w:val="Compact"/>
                    <w:jc w:val="left"/>
                    <w:jc w:val="center"/>
                  </w:pPr>
                  <w:r>
                    <w:t xml:space="preserve">Male</w:t>
                  </w:r>
                </w:p>
              </w:tc>
              <w:tc>
                <w:tcPr/>
                <w:p>
                  <w:pPr>
                    <w:pStyle w:val="Compact"/>
                    <w:jc w:val="left"/>
                    <w:jc w:val="center"/>
                  </w:pPr>
                  <w:r>
                    <w:t xml:space="preserve">259 (70.2%)</w:t>
                  </w:r>
                </w:p>
              </w:tc>
            </w:tr>
            <w:tr>
              <w:tc>
                <w:tcPr/>
                <w:p>
                  <w:pPr>
                    <w:pStyle w:val="Compact"/>
                    <w:jc w:val="left"/>
                    <w:jc w:val="center"/>
                  </w:pPr>
                  <w:r>
                    <w:t xml:space="preserve">Not Specified</w:t>
                  </w:r>
                </w:p>
              </w:tc>
              <w:tc>
                <w:tcPr/>
                <w:p>
                  <w:pPr>
                    <w:pStyle w:val="Compact"/>
                    <w:jc w:val="left"/>
                    <w:jc w:val="center"/>
                  </w:pPr>
                  <w:r>
                    <w:t xml:space="preserve">34 (9.2%)</w:t>
                  </w:r>
                </w:p>
              </w:tc>
            </w:tr>
            <w:tr>
              <w:tc>
                <w:tcPr/>
                <w:p>
                  <w:pPr>
                    <w:pStyle w:val="Compact"/>
                  </w:pPr>
                </w:p>
              </w:tc>
              <w:tc>
                <w:tcPr/>
                <w:p>
                  <w:pPr>
                    <w:pStyle w:val="Compact"/>
                  </w:pPr>
                </w:p>
              </w:tc>
            </w:tr>
            <w:tr>
              <w:tc>
                <w:tcPr/>
                <w:p>
                  <w:pPr>
                    <w:pStyle w:val="Compact"/>
                    <w:jc w:val="left"/>
                    <w:jc w:val="center"/>
                  </w:pPr>
                  <w:r>
                    <w:t xml:space="preserve">Immune Checkpoint Inhibitors</w:t>
                  </w:r>
                </w:p>
              </w:tc>
              <w:tc>
                <w:tcPr/>
                <w:p>
                  <w:pPr>
                    <w:pStyle w:val="Compact"/>
                  </w:pPr>
                </w:p>
              </w:tc>
            </w:tr>
            <w:tr>
              <w:tc>
                <w:tcPr/>
                <w:p>
                  <w:pPr>
                    <w:pStyle w:val="Compact"/>
                    <w:jc w:val="left"/>
                    <w:jc w:val="center"/>
                  </w:pPr>
                  <w:r>
                    <w:t xml:space="preserve">Atezolizumab</w:t>
                  </w:r>
                </w:p>
              </w:tc>
              <w:tc>
                <w:tcPr/>
                <w:p>
                  <w:pPr>
                    <w:pStyle w:val="Compact"/>
                    <w:jc w:val="left"/>
                    <w:jc w:val="center"/>
                  </w:pPr>
                  <w:r>
                    <w:t xml:space="preserve">69 (18.7%)</w:t>
                  </w:r>
                </w:p>
              </w:tc>
            </w:tr>
            <w:tr>
              <w:tc>
                <w:tcPr/>
                <w:p>
                  <w:pPr>
                    <w:pStyle w:val="Compact"/>
                    <w:jc w:val="left"/>
                    <w:jc w:val="center"/>
                  </w:pPr>
                  <w:r>
                    <w:t xml:space="preserve">Avelumab</w:t>
                  </w:r>
                </w:p>
              </w:tc>
              <w:tc>
                <w:tcPr/>
                <w:p>
                  <w:pPr>
                    <w:pStyle w:val="Compact"/>
                    <w:jc w:val="left"/>
                    <w:jc w:val="center"/>
                  </w:pPr>
                  <w:r>
                    <w:t xml:space="preserve">33 (8.9%)</w:t>
                  </w:r>
                </w:p>
              </w:tc>
            </w:tr>
            <w:tr>
              <w:tc>
                <w:tcPr/>
                <w:p>
                  <w:pPr>
                    <w:pStyle w:val="Compact"/>
                    <w:jc w:val="left"/>
                    <w:jc w:val="center"/>
                  </w:pPr>
                  <w:r>
                    <w:t xml:space="preserve">Nivolumab</w:t>
                  </w:r>
                </w:p>
              </w:tc>
              <w:tc>
                <w:tcPr/>
                <w:p>
                  <w:pPr>
                    <w:pStyle w:val="Compact"/>
                    <w:jc w:val="left"/>
                    <w:jc w:val="center"/>
                  </w:pPr>
                  <w:r>
                    <w:t xml:space="preserve">35 (9.5%)</w:t>
                  </w:r>
                </w:p>
              </w:tc>
            </w:tr>
            <w:tr>
              <w:tc>
                <w:tcPr/>
                <w:p>
                  <w:pPr>
                    <w:pStyle w:val="Compact"/>
                    <w:jc w:val="left"/>
                    <w:jc w:val="center"/>
                  </w:pPr>
                  <w:r>
                    <w:t xml:space="preserve">Pembrolizumab</w:t>
                  </w:r>
                </w:p>
              </w:tc>
              <w:tc>
                <w:tcPr/>
                <w:p>
                  <w:pPr>
                    <w:pStyle w:val="Compact"/>
                    <w:jc w:val="left"/>
                    <w:jc w:val="center"/>
                  </w:pPr>
                  <w:r>
                    <w:t xml:space="preserve">232 (62.9%)</w:t>
                  </w:r>
                </w:p>
              </w:tc>
            </w:tr>
            <w:tr>
              <w:tc>
                <w:tcPr/>
                <w:p>
                  <w:pPr>
                    <w:pStyle w:val="Compact"/>
                  </w:pPr>
                </w:p>
              </w:tc>
              <w:tc>
                <w:tcPr/>
                <w:p>
                  <w:pPr>
                    <w:pStyle w:val="Compact"/>
                  </w:pPr>
                </w:p>
              </w:tc>
            </w:tr>
            <w:tr>
              <w:tc>
                <w:tcPr/>
                <w:p>
                  <w:pPr>
                    <w:pStyle w:val="Compact"/>
                    <w:jc w:val="left"/>
                    <w:jc w:val="center"/>
                  </w:pPr>
                  <w:r>
                    <w:t xml:space="preserve">Outcome</w:t>
                  </w:r>
                </w:p>
              </w:tc>
              <w:tc>
                <w:tcPr/>
                <w:p>
                  <w:pPr>
                    <w:pStyle w:val="Compact"/>
                  </w:pPr>
                </w:p>
              </w:tc>
            </w:tr>
            <w:tr>
              <w:tc>
                <w:tcPr/>
                <w:p>
                  <w:pPr>
                    <w:pStyle w:val="Compact"/>
                    <w:jc w:val="left"/>
                    <w:jc w:val="center"/>
                  </w:pPr>
                  <w:r>
                    <w:t xml:space="preserve">Non-Serious</w:t>
                  </w:r>
                </w:p>
              </w:tc>
              <w:tc>
                <w:tcPr/>
                <w:p>
                  <w:pPr>
                    <w:pStyle w:val="Compact"/>
                    <w:jc w:val="left"/>
                    <w:jc w:val="center"/>
                  </w:pPr>
                  <w:r>
                    <w:t xml:space="preserve">60 (16.3%)</w:t>
                  </w:r>
                </w:p>
              </w:tc>
            </w:tr>
            <w:tr>
              <w:tc>
                <w:tcPr/>
                <w:p>
                  <w:pPr>
                    <w:pStyle w:val="Compact"/>
                    <w:jc w:val="left"/>
                    <w:jc w:val="center"/>
                  </w:pPr>
                  <w:r>
                    <w:t xml:space="preserve">Serious</w:t>
                  </w:r>
                </w:p>
              </w:tc>
              <w:tc>
                <w:tcPr/>
                <w:p>
                  <w:pPr>
                    <w:pStyle w:val="Compact"/>
                    <w:jc w:val="left"/>
                    <w:jc w:val="center"/>
                  </w:pPr>
                  <w:r>
                    <w:t xml:space="preserve">309 (83.7%)</w:t>
                  </w:r>
                </w:p>
              </w:tc>
            </w:tr>
            <w:tr>
              <w:tc>
                <w:tcPr/>
                <w:p>
                  <w:pPr>
                    <w:pStyle w:val="Compact"/>
                  </w:pPr>
                </w:p>
              </w:tc>
              <w:tc>
                <w:tcPr/>
                <w:p>
                  <w:pPr>
                    <w:pStyle w:val="Compact"/>
                  </w:pPr>
                </w:p>
              </w:tc>
            </w:tr>
            <w:tr>
              <w:tc>
                <w:tcPr/>
                <w:p>
                  <w:pPr>
                    <w:pStyle w:val="Compact"/>
                    <w:jc w:val="left"/>
                    <w:jc w:val="center"/>
                  </w:pPr>
                  <w:r>
                    <w:t xml:space="preserve">Reporter Type</w:t>
                  </w:r>
                </w:p>
              </w:tc>
              <w:tc>
                <w:tcPr/>
                <w:p>
                  <w:pPr>
                    <w:pStyle w:val="Compact"/>
                  </w:pPr>
                </w:p>
              </w:tc>
            </w:tr>
            <w:tr>
              <w:tc>
                <w:tcPr/>
                <w:p>
                  <w:pPr>
                    <w:pStyle w:val="Compact"/>
                    <w:jc w:val="left"/>
                    <w:jc w:val="center"/>
                  </w:pPr>
                  <w:r>
                    <w:t xml:space="preserve">Consumer</w:t>
                  </w:r>
                </w:p>
              </w:tc>
              <w:tc>
                <w:tcPr/>
                <w:p>
                  <w:pPr>
                    <w:pStyle w:val="Compact"/>
                    <w:jc w:val="left"/>
                    <w:jc w:val="center"/>
                  </w:pPr>
                  <w:r>
                    <w:t xml:space="preserve">51 (13.8%)</w:t>
                  </w:r>
                </w:p>
              </w:tc>
            </w:tr>
            <w:tr>
              <w:tc>
                <w:tcPr/>
                <w:p>
                  <w:pPr>
                    <w:pStyle w:val="Compact"/>
                    <w:jc w:val="left"/>
                    <w:jc w:val="center"/>
                  </w:pPr>
                  <w:r>
                    <w:t xml:space="preserve">Healthcare Professional</w:t>
                  </w:r>
                </w:p>
              </w:tc>
              <w:tc>
                <w:tcPr/>
                <w:p>
                  <w:pPr>
                    <w:pStyle w:val="Compact"/>
                    <w:jc w:val="left"/>
                    <w:jc w:val="center"/>
                  </w:pPr>
                  <w:r>
                    <w:t xml:space="preserve">318 (86.2%)</w:t>
                  </w:r>
                </w:p>
              </w:tc>
            </w:tr>
            <w:tr>
              <w:tc>
                <w:tcPr/>
                <w:p>
                  <w:pPr>
                    <w:pStyle w:val="Compact"/>
                  </w:pPr>
                </w:p>
              </w:tc>
              <w:tc>
                <w:tcPr/>
                <w:p>
                  <w:pPr>
                    <w:pStyle w:val="Compact"/>
                  </w:pPr>
                </w:p>
              </w:tc>
            </w:tr>
            <w:tr>
              <w:tc>
                <w:tcPr/>
                <w:p>
                  <w:pPr>
                    <w:pStyle w:val="Compact"/>
                    <w:jc w:val="left"/>
                    <w:jc w:val="center"/>
                  </w:pPr>
                  <w:r>
                    <w:t xml:space="preserve">Country</w:t>
                  </w:r>
                </w:p>
              </w:tc>
              <w:tc>
                <w:tcPr/>
                <w:p>
                  <w:pPr>
                    <w:pStyle w:val="Compact"/>
                  </w:pPr>
                </w:p>
              </w:tc>
            </w:tr>
            <w:tr>
              <w:tc>
                <w:tcPr/>
                <w:p>
                  <w:pPr>
                    <w:pStyle w:val="Compact"/>
                    <w:jc w:val="left"/>
                    <w:jc w:val="center"/>
                  </w:pPr>
                  <w:r>
                    <w:t xml:space="preserve">Outside US</w:t>
                  </w:r>
                </w:p>
              </w:tc>
              <w:tc>
                <w:tcPr/>
                <w:p>
                  <w:pPr>
                    <w:pStyle w:val="Compact"/>
                    <w:jc w:val="left"/>
                    <w:jc w:val="center"/>
                  </w:pPr>
                  <w:r>
                    <w:t xml:space="preserve">208 (56.4%)</w:t>
                  </w:r>
                </w:p>
              </w:tc>
            </w:tr>
            <w:tr>
              <w:tc>
                <w:tcPr/>
                <w:p>
                  <w:pPr>
                    <w:pStyle w:val="Compact"/>
                    <w:jc w:val="left"/>
                    <w:jc w:val="center"/>
                  </w:pPr>
                  <w:r>
                    <w:t xml:space="preserve">US</w:t>
                  </w:r>
                </w:p>
              </w:tc>
              <w:tc>
                <w:tcPr/>
                <w:p>
                  <w:pPr>
                    <w:pStyle w:val="Compact"/>
                    <w:jc w:val="left"/>
                    <w:jc w:val="center"/>
                  </w:pPr>
                  <w:r>
                    <w:t xml:space="preserve">161 (43.6%)</w:t>
                  </w:r>
                </w:p>
              </w:tc>
            </w:tr>
            <w:tr>
              <w:tc>
                <w:tcPr/>
                <w:p>
                  <w:pPr>
                    <w:pStyle w:val="Compact"/>
                  </w:pPr>
                </w:p>
              </w:tc>
              <w:tc>
                <w:tcPr/>
                <w:p>
                  <w:pPr>
                    <w:pStyle w:val="Compact"/>
                  </w:pPr>
                </w:p>
              </w:tc>
            </w:tr>
            <w:tr>
              <w:tc>
                <w:tcPr/>
                <w:p>
                  <w:pPr>
                    <w:pStyle w:val="Compact"/>
                    <w:jc w:val="left"/>
                    <w:jc w:val="center"/>
                  </w:pPr>
                  <w:r>
                    <w:t xml:space="preserve">Reaction Type</w:t>
                  </w:r>
                </w:p>
              </w:tc>
              <w:tc>
                <w:tcPr/>
                <w:p>
                  <w:pPr>
                    <w:pStyle w:val="Compact"/>
                  </w:pPr>
                </w:p>
              </w:tc>
            </w:tr>
            <w:tr>
              <w:tc>
                <w:tcPr/>
                <w:p>
                  <w:pPr>
                    <w:pStyle w:val="Compact"/>
                    <w:jc w:val="left"/>
                    <w:jc w:val="center"/>
                  </w:pPr>
                  <w:r>
                    <w:t xml:space="preserve">Cardiovascular</w:t>
                  </w:r>
                </w:p>
              </w:tc>
              <w:tc>
                <w:tcPr/>
                <w:p>
                  <w:pPr>
                    <w:pStyle w:val="Compact"/>
                    <w:jc w:val="left"/>
                    <w:jc w:val="center"/>
                  </w:pPr>
                  <w:r>
                    <w:t xml:space="preserve">27 (7.3%)</w:t>
                  </w:r>
                </w:p>
              </w:tc>
            </w:tr>
            <w:tr>
              <w:tc>
                <w:tcPr/>
                <w:p>
                  <w:pPr>
                    <w:pStyle w:val="Compact"/>
                    <w:jc w:val="left"/>
                    <w:jc w:val="center"/>
                  </w:pPr>
                  <w:r>
                    <w:t xml:space="preserve">Endocrinological</w:t>
                  </w:r>
                </w:p>
              </w:tc>
              <w:tc>
                <w:tcPr/>
                <w:p>
                  <w:pPr>
                    <w:pStyle w:val="Compact"/>
                    <w:jc w:val="left"/>
                    <w:jc w:val="center"/>
                  </w:pPr>
                  <w:r>
                    <w:t xml:space="preserve">66 (17.9%)</w:t>
                  </w:r>
                </w:p>
              </w:tc>
            </w:tr>
            <w:tr>
              <w:tc>
                <w:tcPr/>
                <w:p>
                  <w:pPr>
                    <w:pStyle w:val="Compact"/>
                    <w:jc w:val="left"/>
                    <w:jc w:val="center"/>
                  </w:pPr>
                  <w:r>
                    <w:t xml:space="preserve">Gastrointestinal</w:t>
                  </w:r>
                </w:p>
              </w:tc>
              <w:tc>
                <w:tcPr/>
                <w:p>
                  <w:pPr>
                    <w:pStyle w:val="Compact"/>
                    <w:jc w:val="left"/>
                    <w:jc w:val="center"/>
                  </w:pPr>
                  <w:r>
                    <w:t xml:space="preserve">69 (18.7%)</w:t>
                  </w:r>
                </w:p>
              </w:tc>
            </w:tr>
            <w:tr>
              <w:tc>
                <w:tcPr/>
                <w:p>
                  <w:pPr>
                    <w:pStyle w:val="Compact"/>
                    <w:jc w:val="left"/>
                    <w:jc w:val="center"/>
                  </w:pPr>
                  <w:r>
                    <w:t xml:space="preserve">Neurological</w:t>
                  </w:r>
                </w:p>
              </w:tc>
              <w:tc>
                <w:tcPr/>
                <w:p>
                  <w:pPr>
                    <w:pStyle w:val="Compact"/>
                    <w:jc w:val="left"/>
                    <w:jc w:val="center"/>
                  </w:pPr>
                  <w:r>
                    <w:t xml:space="preserve">35 (9.5%)</w:t>
                  </w:r>
                </w:p>
              </w:tc>
            </w:tr>
            <w:tr>
              <w:tc>
                <w:tcPr/>
                <w:p>
                  <w:pPr>
                    <w:pStyle w:val="Compact"/>
                    <w:jc w:val="left"/>
                    <w:jc w:val="center"/>
                  </w:pPr>
                  <w:r>
                    <w:t xml:space="preserve">Other</w:t>
                  </w:r>
                </w:p>
              </w:tc>
              <w:tc>
                <w:tcPr/>
                <w:p>
                  <w:pPr>
                    <w:pStyle w:val="Compact"/>
                    <w:jc w:val="left"/>
                    <w:jc w:val="center"/>
                  </w:pPr>
                  <w:r>
                    <w:t xml:space="preserve">165 (44.7%)</w:t>
                  </w:r>
                </w:p>
              </w:tc>
            </w:tr>
            <w:tr>
              <w:tc>
                <w:tcPr/>
                <w:p>
                  <w:pPr>
                    <w:pStyle w:val="Compact"/>
                    <w:jc w:val="left"/>
                    <w:jc w:val="center"/>
                  </w:pPr>
                  <w:r>
                    <w:t xml:space="preserve">Skin</w:t>
                  </w:r>
                </w:p>
              </w:tc>
              <w:tc>
                <w:tcPr/>
                <w:p>
                  <w:pPr>
                    <w:pStyle w:val="Compact"/>
                    <w:jc w:val="left"/>
                    <w:jc w:val="center"/>
                  </w:pPr>
                  <w:r>
                    <w:t xml:space="preserve">118 (32%)</w:t>
                  </w:r>
                </w:p>
              </w:tc>
            </w:tr>
          </w:tbl>
          <w:bookmarkEnd w:id="29"/>
          <w:p/>
        </w:tc>
      </w:tr>
    </w:tbl>
    <w:bookmarkEnd w:id="30"/>
    <w:bookmarkStart w:id="39" w:name="basic-statistical-analysis"/>
    <w:p>
      <w:pPr>
        <w:pStyle w:val="Heading2"/>
      </w:pPr>
      <w:r>
        <w:t xml:space="preserve">4.2 Basic statistical analysis</w:t>
      </w:r>
    </w:p>
    <w:p>
      <w:pPr>
        <w:pStyle w:val="FirstParagraph"/>
      </w:pPr>
      <w:hyperlink w:anchor="fig-result">
        <w:r>
          <w:rPr>
            <w:rStyle w:val="Hyperlink"/>
            <w:i/>
            <w:iCs/>
          </w:rPr>
          <w:t xml:space="preserve">Figure 1</w:t>
        </w:r>
      </w:hyperlink>
      <w:r>
        <w:rPr>
          <w:i/>
          <w:iCs/>
        </w:rPr>
        <w:t xml:space="preserve"> </w:t>
      </w:r>
      <w:r>
        <w:rPr>
          <w:i/>
          <w:iCs/>
        </w:rPr>
        <w:t xml:space="preserve">shows the number of reactions by drug, along with the seriousness of the reaction.</w:t>
      </w:r>
    </w:p>
    <w:tbl>
      <w:tblPr>
        <w:tblStyle w:val="Table"/>
        <w:tblW w:type="pct" w:w="5000"/>
        <w:tblLayout w:type="fixed"/>
        <w:tblLook w:firstRow="0" w:lastRow="0" w:firstColumn="0" w:lastColumn="0" w:noHBand="0" w:noVBand="0" w:val="0000"/>
      </w:tblPr>
      <w:tblGrid>
        <w:gridCol w:w="7920"/>
      </w:tblGrid>
      <w:tr>
        <w:tc>
          <w:tcPr/>
          <w:bookmarkStart w:id="34" w:name="fig-result"/>
          <w:p>
            <w:pPr>
              <w:pStyle w:val="Compact"/>
              <w:jc w:val="center"/>
            </w:pPr>
            <w:r>
              <w:drawing>
                <wp:inline>
                  <wp:extent cx="5334000" cy="3807460"/>
                  <wp:effectExtent b="0" l="0" r="0" t="0"/>
                  <wp:docPr descr="" title="" id="32" name="Picture"/>
                  <a:graphic>
                    <a:graphicData uri="http://schemas.openxmlformats.org/drawingml/2006/picture">
                      <pic:pic>
                        <pic:nvPicPr>
                          <pic:cNvPr descr="../../results/figures/figure1.png" id="33" name="Picture"/>
                          <pic:cNvPicPr>
                            <a:picLocks noChangeArrowheads="1" noChangeAspect="1"/>
                          </pic:cNvPicPr>
                        </pic:nvPicPr>
                        <pic:blipFill>
                          <a:blip r:embed="rId31"/>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Bar chart of outcome of immune checkpoint inhibitors</w:t>
            </w:r>
          </w:p>
          <w:bookmarkEnd w:id="34"/>
        </w:tc>
      </w:tr>
    </w:tbl>
    <w:p>
      <w:pPr>
        <w:pStyle w:val="BodyText"/>
      </w:pPr>
      <w:hyperlink w:anchor="fig-result1">
        <w:r>
          <w:rPr>
            <w:rStyle w:val="Hyperlink"/>
            <w:i/>
            <w:iCs/>
          </w:rPr>
          <w:t xml:space="preserve">Figure 2</w:t>
        </w:r>
      </w:hyperlink>
      <w:r>
        <w:rPr>
          <w:i/>
          <w:iCs/>
        </w:rPr>
        <w:t xml:space="preserve"> </w:t>
      </w:r>
      <w:r>
        <w:rPr>
          <w:i/>
          <w:iCs/>
        </w:rPr>
        <w:t xml:space="preserve">shows the bar chart by type of organ system involved in the reaction.</w:t>
      </w:r>
    </w:p>
    <w:tbl>
      <w:tblPr>
        <w:tblStyle w:val="Table"/>
        <w:tblW w:type="pct" w:w="5000"/>
        <w:tblLayout w:type="fixed"/>
        <w:tblLook w:firstRow="0" w:lastRow="0" w:firstColumn="0" w:lastColumn="0" w:noHBand="0" w:noVBand="0" w:val="0000"/>
      </w:tblPr>
      <w:tblGrid>
        <w:gridCol w:w="7920"/>
      </w:tblGrid>
      <w:tr>
        <w:tc>
          <w:tcPr/>
          <w:bookmarkStart w:id="38" w:name="fig-result1"/>
          <w:p>
            <w:pPr>
              <w:pStyle w:val="Compact"/>
              <w:jc w:val="center"/>
            </w:pPr>
            <w:r>
              <w:drawing>
                <wp:inline>
                  <wp:extent cx="5334000" cy="3807460"/>
                  <wp:effectExtent b="0" l="0" r="0" t="0"/>
                  <wp:docPr descr="" title="" id="36" name="Picture"/>
                  <a:graphic>
                    <a:graphicData uri="http://schemas.openxmlformats.org/drawingml/2006/picture">
                      <pic:pic>
                        <pic:nvPicPr>
                          <pic:cNvPr descr="../../results/figures/figure2.png" id="37" name="Picture"/>
                          <pic:cNvPicPr>
                            <a:picLocks noChangeArrowheads="1" noChangeAspect="1"/>
                          </pic:cNvPicPr>
                        </pic:nvPicPr>
                        <pic:blipFill>
                          <a:blip r:embed="rId3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Bar chart of types of reactions</w:t>
            </w:r>
          </w:p>
          <w:bookmarkEnd w:id="38"/>
        </w:tc>
      </w:tr>
    </w:tbl>
    <w:bookmarkEnd w:id="39"/>
    <w:bookmarkStart w:id="40" w:name="full-analysis"/>
    <w:p>
      <w:pPr>
        <w:pStyle w:val="Heading2"/>
      </w:pPr>
      <w:r>
        <w:t xml:space="preserve">4.3 Full analysis</w:t>
      </w:r>
    </w:p>
    <w:p>
      <w:pPr>
        <w:pStyle w:val="FirstParagraph"/>
      </w:pPr>
      <w:r>
        <w:rPr>
          <w:i/>
          <w:iCs/>
        </w:rPr>
        <w:t xml:space="preserve">This part has not yet been edited.</w:t>
      </w:r>
    </w:p>
    <w:p>
      <w:pPr>
        <w:pStyle w:val="BodyText"/>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40"/>
    <w:bookmarkEnd w:id="41"/>
    <w:bookmarkStart w:id="46" w:name="discussion"/>
    <w:p>
      <w:pPr>
        <w:pStyle w:val="Heading1"/>
      </w:pPr>
      <w:r>
        <w:t xml:space="preserve">5. Discussion</w:t>
      </w:r>
    </w:p>
    <w:bookmarkStart w:id="42"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2"/>
    <w:bookmarkStart w:id="43"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3"/>
    <w:bookmarkStart w:id="45"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4">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5"/>
    <w:bookmarkEnd w:id="46"/>
    <w:bookmarkStart w:id="58" w:name="references"/>
    <w:p>
      <w:pPr>
        <w:pStyle w:val="Heading1"/>
      </w:pPr>
      <w:r>
        <w:t xml:space="preserve">6. References</w:t>
      </w:r>
    </w:p>
    <w:bookmarkStart w:id="57" w:name="refs"/>
    <w:bookmarkStart w:id="48" w:name="ref-Bray2024"/>
    <w:p>
      <w:pPr>
        <w:pStyle w:val="Bibliography"/>
      </w:pPr>
      <w:r>
        <w:t xml:space="preserve">1.</w:t>
      </w:r>
      <w:r>
        <w:t xml:space="preserve"> </w:t>
      </w:r>
      <w:r>
        <w:t xml:space="preserve">	</w:t>
      </w:r>
      <w:r>
        <w:t xml:space="preserve">Bray F, Laversanne M, Sung H, Ferlay J, Siegel RL, Soerjomataram I, Jemal A. Global cancer statistics 2022: GLOBOCAN estimates of incidence and mortality worldwide for 36 cancers in 185 countries. CA: A Cancer Journal for Clinicians [Internet]. Wiley; 2024 Apr;74(3):229–263. Available from:</w:t>
      </w:r>
      <w:r>
        <w:t xml:space="preserve"> </w:t>
      </w:r>
      <w:hyperlink r:id="rId47">
        <w:r>
          <w:rPr>
            <w:rStyle w:val="Hyperlink"/>
          </w:rPr>
          <w:t xml:space="preserve">http://dx.doi.org/10.3322/caac.21834</w:t>
        </w:r>
      </w:hyperlink>
    </w:p>
    <w:bookmarkEnd w:id="48"/>
    <w:bookmarkStart w:id="49" w:name="ref-Leslie2025-lp"/>
    <w:p>
      <w:pPr>
        <w:pStyle w:val="Bibliography"/>
      </w:pPr>
      <w:r>
        <w:t xml:space="preserve">2.</w:t>
      </w:r>
      <w:r>
        <w:t xml:space="preserve"> </w:t>
      </w:r>
      <w:r>
        <w:t xml:space="preserve">	</w:t>
      </w:r>
      <w:r>
        <w:t xml:space="preserve">Leslie SW, Soon-Sutton TL, Aeddula NR. Bladder cancer.</w:t>
      </w:r>
      <w:r>
        <w:t xml:space="preserve"> </w:t>
      </w:r>
      <w:r>
        <w:t xml:space="preserve">StatPearls</w:t>
      </w:r>
      <w:r>
        <w:t xml:space="preserve">. Treasure Island (FL): StatPearls Publishing; 2025.</w:t>
      </w:r>
      <w:r>
        <w:t xml:space="preserve"> </w:t>
      </w:r>
    </w:p>
    <w:bookmarkEnd w:id="49"/>
    <w:bookmarkStart w:id="51" w:name="ref-Jubber2023"/>
    <w:p>
      <w:pPr>
        <w:pStyle w:val="Bibliography"/>
      </w:pPr>
      <w:r>
        <w:t xml:space="preserve">3.</w:t>
      </w:r>
      <w:r>
        <w:t xml:space="preserve"> </w:t>
      </w:r>
      <w:r>
        <w:t xml:space="preserve">	</w:t>
      </w:r>
      <w:r>
        <w:t xml:space="preserve">Jubber I, Ong S, Bukavina L, Black PC, Compérat E, Kamat AM, Kiemeney L, Lawrentschuk N, Lerner SP, Meeks JJ, Moch H, Necchi A, Panebianco V, Sridhar SS, Znaor A, Catto JWF, Cumberbatch MG. Epidemiology of bladder cancer in 2023: A systematic review of risk factors. European Urology [Internet]. Elsevier BV; 2023 Aug;84(2):176–190. Available from:</w:t>
      </w:r>
      <w:r>
        <w:t xml:space="preserve"> </w:t>
      </w:r>
      <w:hyperlink r:id="rId50">
        <w:r>
          <w:rPr>
            <w:rStyle w:val="Hyperlink"/>
          </w:rPr>
          <w:t xml:space="preserve">http://dx.doi.org/10.1016/j.eururo.2023.03.029</w:t>
        </w:r>
      </w:hyperlink>
    </w:p>
    <w:bookmarkEnd w:id="51"/>
    <w:bookmarkStart w:id="53" w:name="ref-Flaig2024"/>
    <w:p>
      <w:pPr>
        <w:pStyle w:val="Bibliography"/>
      </w:pPr>
      <w:r>
        <w:t xml:space="preserve">4.</w:t>
      </w:r>
      <w:r>
        <w:t xml:space="preserve"> </w:t>
      </w:r>
      <w:r>
        <w:t xml:space="preserve">	</w:t>
      </w:r>
      <w:r>
        <w:t xml:space="preserve">Flaig TW, Spiess PE, Abern M, Agarwal N, Bangs R, Buyyounouski MK, Chan K, Chang SS, Chang P, Friedlander T, Greenberg RE, Guru KA, Herr HW, Hoffman-Censits J, Kaimakliotis H, Kishan AU, Kundu S, Lele SM, Mamtani R, Mian OY, Michalski J, Montgomery JS, Parikh M, Patterson A, Peyton C, Plimack ER, Preston MA, Richards K, Sexton WJ, Siefker-Radtke AO, Stewart T, Sundi D, Tollefson M, Tward J, Wright JL, Cassara CJ, Gurski LA. Bladder cancer, version 3.2024: Featured updates to the NCCN guidelines. Journal of the National Comprehensive Cancer Network [Internet]. Harborside Press, LLC; 2024 May;22(4):216–225. Available from:</w:t>
      </w:r>
      <w:r>
        <w:t xml:space="preserve"> </w:t>
      </w:r>
      <w:hyperlink r:id="rId52">
        <w:r>
          <w:rPr>
            <w:rStyle w:val="Hyperlink"/>
          </w:rPr>
          <w:t xml:space="preserve">http://dx.doi.org/10.6004/jnccn.2024.0024</w:t>
        </w:r>
      </w:hyperlink>
    </w:p>
    <w:bookmarkEnd w:id="53"/>
    <w:bookmarkStart w:id="55" w:name="ref-Yin2023"/>
    <w:p>
      <w:pPr>
        <w:pStyle w:val="Bibliography"/>
      </w:pPr>
      <w:r>
        <w:t xml:space="preserve">5.</w:t>
      </w:r>
      <w:r>
        <w:t xml:space="preserve"> </w:t>
      </w:r>
      <w:r>
        <w:t xml:space="preserve">	</w:t>
      </w:r>
      <w:r>
        <w:t xml:space="preserve">Yin Q, Wu L, Han L, Zheng X, Tong R, Li L, Bai L, Bian Y. Immune-related adverse events of immune checkpoint inhibitors: A review. Frontiers in Immunology [Internet]. Frontiers Media SA; 2023 May;14. Available from:</w:t>
      </w:r>
      <w:r>
        <w:t xml:space="preserve"> </w:t>
      </w:r>
      <w:hyperlink r:id="rId54">
        <w:r>
          <w:rPr>
            <w:rStyle w:val="Hyperlink"/>
          </w:rPr>
          <w:t xml:space="preserve">http://dx.doi.org/10.3389/fimmu.2023.1167975</w:t>
        </w:r>
      </w:hyperlink>
    </w:p>
    <w:bookmarkEnd w:id="55"/>
    <w:bookmarkStart w:id="56" w:name="ref-us2018fda"/>
    <w:p>
      <w:pPr>
        <w:pStyle w:val="Bibliography"/>
      </w:pPr>
      <w:r>
        <w:t xml:space="preserve">6.</w:t>
      </w:r>
      <w:r>
        <w:t xml:space="preserve"> </w:t>
      </w:r>
      <w:r>
        <w:t xml:space="preserve">	</w:t>
      </w:r>
      <w:r>
        <w:t xml:space="preserve">Food U, Administration D, others. FDA adverse event reporting system (FAERS) public dashboard. Data as of March. 2018;31.</w:t>
      </w:r>
      <w:r>
        <w:t xml:space="preserve"> </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0" Target="http://dx.doi.org/10.1016/j.eururo.2023.03.029" TargetMode="External" /><Relationship Type="http://schemas.openxmlformats.org/officeDocument/2006/relationships/hyperlink" Id="rId47" Target="http://dx.doi.org/10.3322/caac.21834" TargetMode="External" /><Relationship Type="http://schemas.openxmlformats.org/officeDocument/2006/relationships/hyperlink" Id="rId54" Target="http://dx.doi.org/10.3389/fimmu.2023.1167975" TargetMode="External" /><Relationship Type="http://schemas.openxmlformats.org/officeDocument/2006/relationships/hyperlink" Id="rId52" Target="http://dx.doi.org/10.6004/jnccn.2024.0024" TargetMode="External" /><Relationship Type="http://schemas.openxmlformats.org/officeDocument/2006/relationships/hyperlink" Id="rId4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0" Target="http://dx.doi.org/10.1016/j.eururo.2023.03.029" TargetMode="External" /><Relationship Type="http://schemas.openxmlformats.org/officeDocument/2006/relationships/hyperlink" Id="rId47" Target="http://dx.doi.org/10.3322/caac.21834" TargetMode="External" /><Relationship Type="http://schemas.openxmlformats.org/officeDocument/2006/relationships/hyperlink" Id="rId54" Target="http://dx.doi.org/10.3389/fimmu.2023.1167975" TargetMode="External" /><Relationship Type="http://schemas.openxmlformats.org/officeDocument/2006/relationships/hyperlink" Id="rId52" Target="http://dx.doi.org/10.6004/jnccn.2024.0024" TargetMode="External" /><Relationship Type="http://schemas.openxmlformats.org/officeDocument/2006/relationships/hyperlink" Id="rId4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Immune-Related Adverse Events (irAEs) associated with Immune Checkpoint Inhibitor (ICI) Therapy in Bladder Cancer: An Analysis of the FDA Adverse Event Reporting System (FAERS)</dc:title>
  <dc:creator>Pooja Gokhale, PharmD</dc:creator>
  <cp:keywords/>
  <dcterms:created xsi:type="dcterms:W3CDTF">2025-03-03T17:43:04Z</dcterms:created>
  <dcterms:modified xsi:type="dcterms:W3CDTF">2025-03-03T17:43:04Z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../../assets/nlm-style.csl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