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35.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Immune-Related Adverse Events (irAEs) associated with Immune Checkpoint Inhibitor (ICI) Therapy in Bladder Cancer: An Analysis of the FDA Adverse Event Reporting System (FAERS)</w:t>
      </w:r>
    </w:p>
    <w:p>
      <w:pPr>
        <w:pStyle w:val="Author"/>
      </w:pPr>
      <w:r>
        <w:t xml:space="preserve">Pooja Gokhale, PharmD</w:t>
      </w:r>
    </w:p>
    <w:p>
      <w:pPr>
        <w:pStyle w:val="FirstParagraph"/>
      </w:pPr>
      <w:r>
        <w:rPr>
          <w:b/>
          <w:bCs/>
        </w:rPr>
        <w:t xml:space="preserve">Authors</w:t>
      </w:r>
    </w:p>
    <w:p>
      <w:pPr>
        <w:pStyle w:val="Compact"/>
        <w:numPr>
          <w:ilvl w:val="0"/>
          <w:numId w:val="1001"/>
        </w:numPr>
      </w:pPr>
      <w:r>
        <w:t xml:space="preserve">Pooja Gokhale, PharmD</w:t>
      </w:r>
      <m:oMath>
        <m:sSup>
          <m:e>
            <m:r>
              <m:t>​</m:t>
            </m:r>
          </m:e>
          <m:sup>
            <m:r>
              <m:t>1</m:t>
            </m:r>
          </m:sup>
        </m:sSup>
      </m:oMath>
      <w:r>
        <w:t xml:space="preserve"> </w:t>
      </w:r>
      <w:r>
        <w:t xml:space="preserve">(ORCID: 0000-0002-7505-7007)</w:t>
      </w:r>
    </w:p>
    <w:p>
      <w:pPr>
        <w:pStyle w:val="FirstParagraph"/>
      </w:pPr>
      <w:r>
        <w:rPr>
          <w:b/>
          <w:bCs/>
        </w:rPr>
        <w:t xml:space="preserve">Author affiliations</w:t>
      </w:r>
    </w:p>
    <w:p>
      <w:pPr>
        <w:pStyle w:val="Compact"/>
        <w:numPr>
          <w:ilvl w:val="0"/>
          <w:numId w:val="1002"/>
        </w:numPr>
      </w:pPr>
      <w:r>
        <w:t xml:space="preserve">Department of Clinical and Administrative Pharmacy, College of Pharmacy, University of Georgia, Athens, GA, USA.</w:t>
      </w:r>
    </w:p>
    <w:p>
      <w:pPr>
        <w:pStyle w:val="FirstParagraph"/>
      </w:pPr>
      <m:oMath>
        <m:r>
          <m:rPr>
            <m:sty m:val="p"/>
          </m:rPr>
          <m:t>∧</m:t>
        </m:r>
      </m:oMath>
      <w:r>
        <w:t xml:space="preserve"> </w:t>
      </w:r>
      <w:r>
        <w:t xml:space="preserve">Corresponding author: poojaGokhale@uga.edu</w:t>
      </w:r>
    </w:p>
    <w:p>
      <w:r>
        <w:br w:type="page"/>
      </w:r>
    </w:p>
    <w:bookmarkStart w:id="20" w:name="summaryabstract"/>
    <w:p>
      <w:pPr>
        <w:pStyle w:val="Heading1"/>
      </w:pPr>
      <w:r>
        <w:t xml:space="preserve">1. Summary/Abstract</w:t>
      </w:r>
    </w:p>
    <w:p>
      <w:pPr>
        <w:pStyle w:val="FirstParagraph"/>
      </w:pPr>
      <w:r>
        <w:rPr>
          <w:i/>
          <w:iCs/>
        </w:rPr>
        <w:t xml:space="preserve">Write a summary of your project.</w:t>
      </w:r>
      <w:r>
        <w:t xml:space="preserve"> </w:t>
      </w:r>
      <w:r>
        <w:rPr>
          <w:i/>
          <w:iCs/>
        </w:rPr>
        <w:t xml:space="preserve">This part has not been completed. The source code has been left as is</w:t>
      </w:r>
    </w:p>
    <w:p>
      <w:r>
        <w:br w:type="page"/>
      </w:r>
    </w:p>
    <w:bookmarkEnd w:id="20"/>
    <w:bookmarkStart w:id="24" w:name="introduction"/>
    <w:p>
      <w:pPr>
        <w:pStyle w:val="Heading1"/>
      </w:pPr>
      <w:r>
        <w:t xml:space="preserve">2. Introduction</w:t>
      </w:r>
    </w:p>
    <w:bookmarkStart w:id="21" w:name="general-background-information"/>
    <w:p>
      <w:pPr>
        <w:pStyle w:val="Heading2"/>
      </w:pPr>
      <w:r>
        <w:t xml:space="preserve">2.1 General Background Information</w:t>
      </w:r>
    </w:p>
    <w:p>
      <w:pPr>
        <w:pStyle w:val="FirstParagraph"/>
      </w:pPr>
      <w:r>
        <w:rPr>
          <w:i/>
          <w:iCs/>
        </w:rPr>
        <w:t xml:space="preserve">Bladder cancer is the ninth most common type of cancer, according to a 2022 report published by the International Agency for Research on Cancer</w:t>
      </w:r>
      <w:r>
        <w:rPr>
          <w:i/>
          <w:iCs/>
          <w:vertAlign w:val="superscript"/>
        </w:rPr>
        <w:t xml:space="preserve">1</w:t>
      </w:r>
      <w:r>
        <w:rPr>
          <w:i/>
          <w:iCs/>
        </w:rPr>
        <w:t xml:space="preserve">. The American Cancer Society estimates approximately 85,000 new bladder cancer cases, and approximately 17,000 bladder cancer deaths in the United States in 2025.</w:t>
      </w:r>
    </w:p>
    <w:p>
      <w:pPr>
        <w:pStyle w:val="BodyText"/>
      </w:pPr>
      <w:r>
        <w:rPr>
          <w:i/>
          <w:iCs/>
        </w:rPr>
        <w:t xml:space="preserve">The cancer is more common in males than in females, with a male:female ratio of about 4:1</w:t>
      </w:r>
      <w:r>
        <w:rPr>
          <w:i/>
          <w:iCs/>
          <w:vertAlign w:val="superscript"/>
        </w:rPr>
        <w:t xml:space="preserve">2</w:t>
      </w:r>
      <w:r>
        <w:rPr>
          <w:i/>
          <w:iCs/>
        </w:rPr>
        <w:t xml:space="preserve">. Risk factors for bladder cancer include smoking and occupational chemical exposures (in particular, aromatic amines and polycyclic aromatic hydrocarbons). Certain dietary factors, impaired microbiome, and pelvic radiotherapy may also increase the risk of bladder cancer</w:t>
      </w:r>
      <w:r>
        <w:rPr>
          <w:i/>
          <w:iCs/>
          <w:vertAlign w:val="superscript"/>
        </w:rPr>
        <w:t xml:space="preserve">3</w:t>
      </w:r>
      <w:r>
        <w:rPr>
          <w:i/>
          <w:iCs/>
        </w:rPr>
        <w:t xml:space="preserve">.</w:t>
      </w:r>
    </w:p>
    <w:p>
      <w:pPr>
        <w:pStyle w:val="BodyText"/>
      </w:pPr>
      <w:r>
        <w:rPr>
          <w:i/>
          <w:iCs/>
        </w:rPr>
        <w:t xml:space="preserve">Treatment of bladder cancer is multifaceted and depends on the type of tumor. Surgical resection, adjuvant and intravesical chemotherapy, Bacillus Calmette–Guérin (BCG) immunotherapy, and systemic chemotherapy are the different treatment options available</w:t>
      </w:r>
      <w:r>
        <w:rPr>
          <w:i/>
          <w:iCs/>
          <w:vertAlign w:val="superscript"/>
        </w:rPr>
        <w:t xml:space="preserve">2</w:t>
      </w:r>
      <w:r>
        <w:rPr>
          <w:i/>
          <w:iCs/>
        </w:rPr>
        <w:t xml:space="preserve">.</w:t>
      </w:r>
    </w:p>
    <w:p>
      <w:pPr>
        <w:pStyle w:val="BodyText"/>
      </w:pPr>
      <w:r>
        <w:rPr>
          <w:i/>
          <w:iCs/>
        </w:rPr>
        <w:t xml:space="preserve">According to the National comprehensive Cancer Network (NCCN) guidelines, immunotherapy with immune checkpoint inhibitors (ICIs) is recommended at various stages of bladder cancer treatment. ICIs such as pembrolizumab, atezolizumab, nivolumab, and avelumab are FDA approved and recommended for the adjuvant and first and second-line treatment of bladder cancer</w:t>
      </w:r>
      <w:r>
        <w:rPr>
          <w:i/>
          <w:iCs/>
          <w:vertAlign w:val="superscript"/>
        </w:rPr>
        <w:t xml:space="preserve">4</w:t>
      </w:r>
      <w:r>
        <w:rPr>
          <w:i/>
          <w:iCs/>
        </w:rPr>
        <w:t xml:space="preserve">.</w:t>
      </w:r>
    </w:p>
    <w:p>
      <w:pPr>
        <w:pStyle w:val="BodyText"/>
      </w:pPr>
      <w:r>
        <w:rPr>
          <w:i/>
          <w:iCs/>
        </w:rPr>
        <w:t xml:space="preserve">ICIs are associated with various adverse effects, particularly with immune-related adverse events (irAEs) such as pnemonitis, hepatitis, colitis, hypothyroidism, dermatitis, and others</w:t>
      </w:r>
      <w:r>
        <w:rPr>
          <w:i/>
          <w:iCs/>
          <w:vertAlign w:val="superscript"/>
        </w:rPr>
        <w:t xml:space="preserve">5</w:t>
      </w:r>
      <w:r>
        <w:rPr>
          <w:i/>
          <w:iCs/>
        </w:rPr>
        <w:t xml:space="preserve">.This study aims to analyze real-world adverse event data from the FDA Adverse Event Reporting System associated with ICI therapy in bladder cancer.</w:t>
      </w:r>
    </w:p>
    <w:bookmarkEnd w:id="21"/>
    <w:bookmarkStart w:id="22" w:name="description-of-data-and-data-source"/>
    <w:p>
      <w:pPr>
        <w:pStyle w:val="Heading2"/>
      </w:pPr>
      <w:r>
        <w:t xml:space="preserve">2.2 Description of data and data source</w:t>
      </w:r>
    </w:p>
    <w:p>
      <w:pPr>
        <w:pStyle w:val="FirstParagraph"/>
      </w:pPr>
      <w:r>
        <w:rPr>
          <w:i/>
          <w:iCs/>
        </w:rPr>
        <w:t xml:space="preserve">The United States Food and Drug Administration (FDA) maintains a dashboard of adverse event reports in the FDA Adverse Event Reporting System (FAERS)</w:t>
      </w:r>
      <w:r>
        <w:rPr>
          <w:i/>
          <w:iCs/>
          <w:vertAlign w:val="superscript"/>
        </w:rPr>
        <w:t xml:space="preserve">6</w:t>
      </w:r>
      <w:r>
        <w:rPr>
          <w:i/>
          <w:iCs/>
        </w:rPr>
        <w:t xml:space="preserve">. FAERS is a publicly available dashboard of safety reports submitted by patients, healthcare professionals, and pharmaceutical companies.</w:t>
      </w:r>
    </w:p>
    <w:p>
      <w:pPr>
        <w:pStyle w:val="BodyText"/>
      </w:pPr>
      <w:r>
        <w:rPr>
          <w:i/>
          <w:iCs/>
        </w:rPr>
        <w:t xml:space="preserve">Since FAERS consists of self-reported data from multiple sources, there may be duplicates, missing data as well as various errors. The findings of this study should be considered in context of this data limitation.</w:t>
      </w:r>
    </w:p>
    <w:bookmarkEnd w:id="22"/>
    <w:bookmarkStart w:id="23" w:name="questionshypotheses-to-be-addressed"/>
    <w:p>
      <w:pPr>
        <w:pStyle w:val="Heading2"/>
      </w:pPr>
      <w:r>
        <w:t xml:space="preserve">2.3 Questions/Hypotheses to be addressed</w:t>
      </w:r>
    </w:p>
    <w:p>
      <w:pPr>
        <w:pStyle w:val="FirstParagraph"/>
      </w:pPr>
      <w:r>
        <w:rPr>
          <w:i/>
          <w:iCs/>
        </w:rPr>
        <w:t xml:space="preserve">The study aims to analyze whether irAEs associated with ICIs generate a signal of disproportionate reporting (SDR). The goal is to determine whether irAEs associated with ICIs in baldder cancer are greater than expected, and thus further research and strategies to deal with these adverse events is required.</w:t>
      </w:r>
    </w:p>
    <w:p>
      <w:r>
        <w:br w:type="page"/>
      </w:r>
    </w:p>
    <w:bookmarkEnd w:id="23"/>
    <w:bookmarkEnd w:id="24"/>
    <w:bookmarkStart w:id="28" w:name="methods"/>
    <w:p>
      <w:pPr>
        <w:pStyle w:val="Heading1"/>
      </w:pPr>
      <w:r>
        <w:t xml:space="preserve">3. Methods</w:t>
      </w:r>
    </w:p>
    <w:p>
      <w:pPr>
        <w:pStyle w:val="FirstParagraph"/>
      </w:pPr>
      <w:r>
        <w:rPr>
          <w:i/>
          <w:iCs/>
        </w:rPr>
        <w:t xml:space="preserve">Describe your methods. That should describe the data, the cleaning processes, and the analysis approaches. You might want to provide a shorter description here and all the details in the supplement.</w:t>
      </w:r>
      <w:r>
        <w:t xml:space="preserve"> </w:t>
      </w:r>
      <w:r>
        <w:rPr>
          <w:i/>
          <w:iCs/>
        </w:rPr>
        <w:t xml:space="preserve">This part has not been completed. The source code has been left as is</w:t>
      </w:r>
      <w:r>
        <w:t xml:space="preserve"> </w:t>
      </w:r>
      <w:r>
        <w:rPr>
          <w:i/>
          <w:iCs/>
        </w:rPr>
        <w:t xml:space="preserve">Details have been provided in the data acquisition and statistical analysis parts.</w:t>
      </w:r>
    </w:p>
    <w:bookmarkStart w:id="25" w:name="data-aquisition"/>
    <w:p>
      <w:pPr>
        <w:pStyle w:val="Heading2"/>
      </w:pPr>
      <w:r>
        <w:t xml:space="preserve">3.1 Data aquisition</w:t>
      </w:r>
    </w:p>
    <w:p>
      <w:pPr>
        <w:pStyle w:val="FirstParagraph"/>
      </w:pPr>
      <w:r>
        <w:rPr>
          <w:i/>
          <w:iCs/>
        </w:rPr>
        <w:t xml:space="preserve">In order to obtain the FAERS data, the ICIs were used to search by product. Pembrolizumab, atezolizumab, avelumab, and nivolumab were the keywords used. Previously, durvalumab, and ipilimumab were also approved for bladder cancer treatment. However, this indication has since then been removed by the manufacturers. As such, these were not considered. Following this, the search was limited to cases of bladder cancer. A total of 1,886 reactions were obtained.</w:t>
      </w:r>
    </w:p>
    <w:bookmarkEnd w:id="25"/>
    <w:bookmarkStart w:id="26" w:name="data-import-and-cleaning"/>
    <w:p>
      <w:pPr>
        <w:pStyle w:val="Heading2"/>
      </w:pPr>
      <w:r>
        <w:t xml:space="preserve">3.2 Data import and cleaning</w:t>
      </w:r>
    </w:p>
    <w:p>
      <w:pPr>
        <w:pStyle w:val="FirstParagraph"/>
      </w:pPr>
      <w:r>
        <w:rPr>
          <w:i/>
          <w:iCs/>
        </w:rPr>
        <w:t xml:space="preserve">The file has been downloaded as an Excel file. The code for the analysis would involve loading the file, removing duplicates, assessing missing data, and deciding whether to remove it.</w:t>
      </w:r>
      <w:r>
        <w:t xml:space="preserve"> </w:t>
      </w:r>
      <w:r>
        <w:rPr>
          <w:i/>
          <w:iCs/>
        </w:rPr>
        <w:t xml:space="preserve">This will be followed by filtering the data to retain only irAEs. While this step could be performed within the FAERS dashboard, this is not always a straightforward process. FAERS writes all the reactions associated with an agent in a single column, such that one column may have over 10-15 reactions. As such, this step will be performed here.</w:t>
      </w:r>
    </w:p>
    <w:p>
      <w:pPr>
        <w:pStyle w:val="BodyText"/>
      </w:pPr>
      <w:r>
        <w:rPr>
          <w:i/>
          <w:iCs/>
        </w:rPr>
        <w:t xml:space="preserve">The FAERS data initially consisted of 2948 reactions associated with ICIs in bladder cancer.</w:t>
      </w:r>
    </w:p>
    <w:p>
      <w:pPr>
        <w:pStyle w:val="BodyText"/>
      </w:pPr>
      <w:r>
        <w:rPr>
          <w:i/>
          <w:iCs/>
        </w:rPr>
        <w:t xml:space="preserve">Reactions with concomitant suspect products, combination products, and those which were not irAEs were removed. This resulted in a total of 369 cases. The details are available in the processing code file.</w:t>
      </w:r>
    </w:p>
    <w:bookmarkEnd w:id="26"/>
    <w:bookmarkStart w:id="27" w:name="statistical-analysis"/>
    <w:p>
      <w:pPr>
        <w:pStyle w:val="Heading2"/>
      </w:pPr>
      <w:r>
        <w:t xml:space="preserve">3.3 Statistical analysis</w:t>
      </w:r>
    </w:p>
    <w:p>
      <w:pPr>
        <w:pStyle w:val="FirstParagraph"/>
      </w:pPr>
      <w:r>
        <w:rPr>
          <w:i/>
          <w:iCs/>
        </w:rPr>
        <w:t xml:space="preserve">The first of the analysis will consists of descriptive statistics. Continous variables will be summarized as means, whereas categorical variables will be summarized as counts and percenatges.</w:t>
      </w:r>
    </w:p>
    <w:p>
      <w:pPr>
        <w:pStyle w:val="BodyText"/>
      </w:pPr>
      <w:r>
        <w:rPr>
          <w:i/>
          <w:iCs/>
        </w:rPr>
        <w:t xml:space="preserve">The second part of the analysis will involve a disproportionality analysis. This analysis uses the following formula to calculate the reported odds ratio (ROR).</w:t>
      </w:r>
    </w:p>
    <w:p>
      <w:pPr>
        <w:pStyle w:val="BodyText"/>
      </w:pPr>
      <w:r>
        <w:rPr>
          <w:i/>
          <w:iCs/>
        </w:rPr>
        <w:t xml:space="preserve">a = irAES reported with ICIs</w:t>
      </w:r>
      <w:r>
        <w:t xml:space="preserve"> </w:t>
      </w:r>
      <w:r>
        <w:rPr>
          <w:i/>
          <w:iCs/>
        </w:rPr>
        <w:t xml:space="preserve">b = irAEs reported with all other drugs</w:t>
      </w:r>
      <w:r>
        <w:t xml:space="preserve"> </w:t>
      </w:r>
      <w:r>
        <w:rPr>
          <w:i/>
          <w:iCs/>
        </w:rPr>
        <w:t xml:space="preserve">c = All other AEs reported with ICIs</w:t>
      </w:r>
      <w:r>
        <w:t xml:space="preserve"> </w:t>
      </w:r>
      <w:r>
        <w:rPr>
          <w:i/>
          <w:iCs/>
        </w:rPr>
        <w:t xml:space="preserve">d = All other AEs reported with other drugs</w:t>
      </w:r>
    </w:p>
    <w:p>
      <w:pPr>
        <w:pStyle w:val="BodyText"/>
      </w:pPr>
      <w:r>
        <w:rPr>
          <w:i/>
          <w:iCs/>
        </w:rPr>
        <w:t xml:space="preserve">ROR = a/c / b/d</w:t>
      </w:r>
    </w:p>
    <w:p>
      <w:pPr>
        <w:pStyle w:val="BodyText"/>
      </w:pPr>
      <w:r>
        <w:rPr>
          <w:i/>
          <w:iCs/>
        </w:rPr>
        <w:t xml:space="preserve">Other details in the analysis will be finalized later.</w:t>
      </w:r>
    </w:p>
    <w:p>
      <w:r>
        <w:br w:type="page"/>
      </w:r>
    </w:p>
    <w:bookmarkEnd w:id="27"/>
    <w:bookmarkEnd w:id="28"/>
    <w:bookmarkStart w:id="42" w:name="results"/>
    <w:p>
      <w:pPr>
        <w:pStyle w:val="Heading1"/>
      </w:pPr>
      <w:r>
        <w:t xml:space="preserve">4. Results</w:t>
      </w:r>
    </w:p>
    <w:p>
      <w:pPr>
        <w:pStyle w:val="FirstParagraph"/>
      </w:pPr>
      <w:r>
        <w:rPr>
          <w:i/>
          <w:iCs/>
        </w:rPr>
        <w:t xml:space="preserve">This part has not been completed. The source code has been left as is</w:t>
      </w:r>
    </w:p>
    <w:bookmarkStart w:id="30" w:name="exploratorydescriptive-analysis"/>
    <w:p>
      <w:pPr>
        <w:pStyle w:val="Heading2"/>
      </w:pPr>
      <w:r>
        <w:t xml:space="preserve">4.1 Exploratory/Descriptive analysis</w:t>
      </w:r>
    </w:p>
    <w:p>
      <w:pPr>
        <w:pStyle w:val="FirstParagraph"/>
      </w:pPr>
      <w:hyperlink w:anchor="tbl-summarytable">
        <w:r>
          <w:rPr>
            <w:rStyle w:val="Hyperlink"/>
          </w:rPr>
          <w:t xml:space="preserve">Table 1</w:t>
        </w:r>
      </w:hyperlink>
      <w:r>
        <w:t xml:space="preserve"> </w:t>
      </w:r>
      <w:r>
        <w:rPr>
          <w:i/>
          <w:iCs/>
        </w:rPr>
        <w:t xml:space="preserve">provides the patient characteristics, and summary of reactions by type of immune checkpoint inhibitor, and organ system affected.</w:t>
      </w:r>
    </w:p>
    <w:p>
      <w:pPr>
        <w:pStyle w:val="BodyText"/>
      </w:pPr>
      <w:r>
        <w:rPr>
          <w:i/>
          <w:iCs/>
        </w:rPr>
        <w:t xml:space="preserve">The mean age reported was 66.94±17.65. A large percentage of the reactions occurred in males (70.2%). This may be because bladder cancer is much more common in males than in females.</w:t>
      </w:r>
    </w:p>
    <w:p>
      <w:pPr>
        <w:pStyle w:val="BodyText"/>
      </w:pPr>
      <w:r>
        <w:rPr>
          <w:i/>
          <w:iCs/>
        </w:rPr>
        <w:t xml:space="preserve">Over 60% of the reactions were associated with pembrolizumab. A majority of the reactions were serious (83.7%)</w:t>
      </w:r>
    </w:p>
    <w:tbl>
      <w:tblPr>
        <w:tblStyle w:val="Table"/>
        <w:tblW w:type="pct" w:w="5000"/>
        <w:tblLayout w:type="fixed"/>
        <w:tblLook w:firstRow="0" w:lastRow="0" w:firstColumn="0" w:lastColumn="0" w:noHBand="0" w:noVBand="0" w:val="0000"/>
      </w:tblPr>
      <w:tblGrid>
        <w:gridCol w:w="7920"/>
      </w:tblGrid>
      <w:tr>
        <w:tc>
          <w:tcPr/>
          <w:bookmarkStart w:id="29" w:name="tbl-summarytable"/>
          <w:p>
            <w:pPr>
              <w:jc w:val="center"/>
            </w:pPr>
            <w:pPr>
              <w:jc w:val="start"/>
              <w:spacing w:before="200"/>
              <w:pStyle w:val="ImageCaption"/>
            </w:pPr>
            <w:r>
              <w:t xml:space="preserve">Table 1: Table 1: Descriptive Statistics</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jc w:val="center"/>
                  </w:pPr>
                  <w:r>
                    <w:t xml:space="preserve">Category</w:t>
                  </w:r>
                </w:p>
              </w:tc>
              <w:tc>
                <w:tcPr/>
                <w:p>
                  <w:pPr>
                    <w:pStyle w:val="Compact"/>
                    <w:jc w:val="left"/>
                    <w:jc w:val="center"/>
                  </w:pPr>
                  <w:r>
                    <w:t xml:space="preserve">Value</w:t>
                  </w:r>
                </w:p>
              </w:tc>
            </w:tr>
            <w:tr>
              <w:tc>
                <w:tcPr/>
                <w:p>
                  <w:pPr>
                    <w:pStyle w:val="Compact"/>
                    <w:jc w:val="left"/>
                    <w:jc w:val="center"/>
                  </w:pPr>
                  <w:r>
                    <w:t xml:space="preserve">Age</w:t>
                  </w:r>
                </w:p>
              </w:tc>
              <w:tc>
                <w:tcPr/>
                <w:p>
                  <w:pPr>
                    <w:pStyle w:val="Compact"/>
                    <w:jc w:val="left"/>
                    <w:jc w:val="center"/>
                  </w:pPr>
                  <w:r>
                    <w:t xml:space="preserve">66.94 ± 17.65</w:t>
                  </w:r>
                </w:p>
              </w:tc>
            </w:tr>
            <w:tr>
              <w:tc>
                <w:tcPr/>
                <w:p>
                  <w:pPr>
                    <w:pStyle w:val="Compact"/>
                    <w:jc w:val="left"/>
                    <w:jc w:val="center"/>
                  </w:pPr>
                  <w:r>
                    <w:t xml:space="preserve">Sex</w:t>
                  </w:r>
                </w:p>
              </w:tc>
              <w:tc>
                <w:tcPr/>
                <w:p>
                  <w:pPr>
                    <w:pStyle w:val="Compact"/>
                  </w:pPr>
                </w:p>
              </w:tc>
            </w:tr>
            <w:tr>
              <w:tc>
                <w:tcPr/>
                <w:p>
                  <w:pPr>
                    <w:pStyle w:val="Compact"/>
                    <w:jc w:val="left"/>
                    <w:jc w:val="center"/>
                  </w:pPr>
                  <w:r>
                    <w:t xml:space="preserve">Female</w:t>
                  </w:r>
                </w:p>
              </w:tc>
              <w:tc>
                <w:tcPr/>
                <w:p>
                  <w:pPr>
                    <w:pStyle w:val="Compact"/>
                    <w:jc w:val="left"/>
                    <w:jc w:val="center"/>
                  </w:pPr>
                  <w:r>
                    <w:t xml:space="preserve">76 (20.6%)</w:t>
                  </w:r>
                </w:p>
              </w:tc>
            </w:tr>
            <w:tr>
              <w:tc>
                <w:tcPr/>
                <w:p>
                  <w:pPr>
                    <w:pStyle w:val="Compact"/>
                    <w:jc w:val="left"/>
                    <w:jc w:val="center"/>
                  </w:pPr>
                  <w:r>
                    <w:t xml:space="preserve">Male</w:t>
                  </w:r>
                </w:p>
              </w:tc>
              <w:tc>
                <w:tcPr/>
                <w:p>
                  <w:pPr>
                    <w:pStyle w:val="Compact"/>
                    <w:jc w:val="left"/>
                    <w:jc w:val="center"/>
                  </w:pPr>
                  <w:r>
                    <w:t xml:space="preserve">259 (70.2%)</w:t>
                  </w:r>
                </w:p>
              </w:tc>
            </w:tr>
            <w:tr>
              <w:tc>
                <w:tcPr/>
                <w:p>
                  <w:pPr>
                    <w:pStyle w:val="Compact"/>
                    <w:jc w:val="left"/>
                    <w:jc w:val="center"/>
                  </w:pPr>
                  <w:r>
                    <w:t xml:space="preserve">Not Specified</w:t>
                  </w:r>
                </w:p>
              </w:tc>
              <w:tc>
                <w:tcPr/>
                <w:p>
                  <w:pPr>
                    <w:pStyle w:val="Compact"/>
                    <w:jc w:val="left"/>
                    <w:jc w:val="center"/>
                  </w:pPr>
                  <w:r>
                    <w:t xml:space="preserve">34 (9.2%)</w:t>
                  </w:r>
                </w:p>
              </w:tc>
            </w:tr>
            <w:tr>
              <w:tc>
                <w:tcPr/>
                <w:p>
                  <w:pPr>
                    <w:pStyle w:val="Compact"/>
                  </w:pPr>
                </w:p>
              </w:tc>
              <w:tc>
                <w:tcPr/>
                <w:p>
                  <w:pPr>
                    <w:pStyle w:val="Compact"/>
                  </w:pPr>
                </w:p>
              </w:tc>
            </w:tr>
            <w:tr>
              <w:tc>
                <w:tcPr/>
                <w:p>
                  <w:pPr>
                    <w:pStyle w:val="Compact"/>
                    <w:jc w:val="left"/>
                    <w:jc w:val="center"/>
                  </w:pPr>
                  <w:r>
                    <w:t xml:space="preserve">Immune Checkpoint Inhibitors</w:t>
                  </w:r>
                </w:p>
              </w:tc>
              <w:tc>
                <w:tcPr/>
                <w:p>
                  <w:pPr>
                    <w:pStyle w:val="Compact"/>
                  </w:pPr>
                </w:p>
              </w:tc>
            </w:tr>
            <w:tr>
              <w:tc>
                <w:tcPr/>
                <w:p>
                  <w:pPr>
                    <w:pStyle w:val="Compact"/>
                    <w:jc w:val="left"/>
                    <w:jc w:val="center"/>
                  </w:pPr>
                  <w:r>
                    <w:t xml:space="preserve">Atezolizumab</w:t>
                  </w:r>
                </w:p>
              </w:tc>
              <w:tc>
                <w:tcPr/>
                <w:p>
                  <w:pPr>
                    <w:pStyle w:val="Compact"/>
                    <w:jc w:val="left"/>
                    <w:jc w:val="center"/>
                  </w:pPr>
                  <w:r>
                    <w:t xml:space="preserve">69 (18.7%)</w:t>
                  </w:r>
                </w:p>
              </w:tc>
            </w:tr>
            <w:tr>
              <w:tc>
                <w:tcPr/>
                <w:p>
                  <w:pPr>
                    <w:pStyle w:val="Compact"/>
                    <w:jc w:val="left"/>
                    <w:jc w:val="center"/>
                  </w:pPr>
                  <w:r>
                    <w:t xml:space="preserve">Avelumab</w:t>
                  </w:r>
                </w:p>
              </w:tc>
              <w:tc>
                <w:tcPr/>
                <w:p>
                  <w:pPr>
                    <w:pStyle w:val="Compact"/>
                    <w:jc w:val="left"/>
                    <w:jc w:val="center"/>
                  </w:pPr>
                  <w:r>
                    <w:t xml:space="preserve">33 (8.9%)</w:t>
                  </w:r>
                </w:p>
              </w:tc>
            </w:tr>
            <w:tr>
              <w:tc>
                <w:tcPr/>
                <w:p>
                  <w:pPr>
                    <w:pStyle w:val="Compact"/>
                    <w:jc w:val="left"/>
                    <w:jc w:val="center"/>
                  </w:pPr>
                  <w:r>
                    <w:t xml:space="preserve">Nivolumab</w:t>
                  </w:r>
                </w:p>
              </w:tc>
              <w:tc>
                <w:tcPr/>
                <w:p>
                  <w:pPr>
                    <w:pStyle w:val="Compact"/>
                    <w:jc w:val="left"/>
                    <w:jc w:val="center"/>
                  </w:pPr>
                  <w:r>
                    <w:t xml:space="preserve">35 (9.5%)</w:t>
                  </w:r>
                </w:p>
              </w:tc>
            </w:tr>
            <w:tr>
              <w:tc>
                <w:tcPr/>
                <w:p>
                  <w:pPr>
                    <w:pStyle w:val="Compact"/>
                    <w:jc w:val="left"/>
                    <w:jc w:val="center"/>
                  </w:pPr>
                  <w:r>
                    <w:t xml:space="preserve">Pembrolizumab</w:t>
                  </w:r>
                </w:p>
              </w:tc>
              <w:tc>
                <w:tcPr/>
                <w:p>
                  <w:pPr>
                    <w:pStyle w:val="Compact"/>
                    <w:jc w:val="left"/>
                    <w:jc w:val="center"/>
                  </w:pPr>
                  <w:r>
                    <w:t xml:space="preserve">232 (62.9%)</w:t>
                  </w:r>
                </w:p>
              </w:tc>
            </w:tr>
            <w:tr>
              <w:tc>
                <w:tcPr/>
                <w:p>
                  <w:pPr>
                    <w:pStyle w:val="Compact"/>
                  </w:pPr>
                </w:p>
              </w:tc>
              <w:tc>
                <w:tcPr/>
                <w:p>
                  <w:pPr>
                    <w:pStyle w:val="Compact"/>
                  </w:pPr>
                </w:p>
              </w:tc>
            </w:tr>
            <w:tr>
              <w:tc>
                <w:tcPr/>
                <w:p>
                  <w:pPr>
                    <w:pStyle w:val="Compact"/>
                    <w:jc w:val="left"/>
                    <w:jc w:val="center"/>
                  </w:pPr>
                  <w:r>
                    <w:t xml:space="preserve">Outcome</w:t>
                  </w:r>
                </w:p>
              </w:tc>
              <w:tc>
                <w:tcPr/>
                <w:p>
                  <w:pPr>
                    <w:pStyle w:val="Compact"/>
                  </w:pPr>
                </w:p>
              </w:tc>
            </w:tr>
            <w:tr>
              <w:tc>
                <w:tcPr/>
                <w:p>
                  <w:pPr>
                    <w:pStyle w:val="Compact"/>
                    <w:jc w:val="left"/>
                    <w:jc w:val="center"/>
                  </w:pPr>
                  <w:r>
                    <w:t xml:space="preserve">Non-Serious</w:t>
                  </w:r>
                </w:p>
              </w:tc>
              <w:tc>
                <w:tcPr/>
                <w:p>
                  <w:pPr>
                    <w:pStyle w:val="Compact"/>
                    <w:jc w:val="left"/>
                    <w:jc w:val="center"/>
                  </w:pPr>
                  <w:r>
                    <w:t xml:space="preserve">60 (16.3%)</w:t>
                  </w:r>
                </w:p>
              </w:tc>
            </w:tr>
            <w:tr>
              <w:tc>
                <w:tcPr/>
                <w:p>
                  <w:pPr>
                    <w:pStyle w:val="Compact"/>
                    <w:jc w:val="left"/>
                    <w:jc w:val="center"/>
                  </w:pPr>
                  <w:r>
                    <w:t xml:space="preserve">Serious</w:t>
                  </w:r>
                </w:p>
              </w:tc>
              <w:tc>
                <w:tcPr/>
                <w:p>
                  <w:pPr>
                    <w:pStyle w:val="Compact"/>
                    <w:jc w:val="left"/>
                    <w:jc w:val="center"/>
                  </w:pPr>
                  <w:r>
                    <w:t xml:space="preserve">309 (83.7%)</w:t>
                  </w:r>
                </w:p>
              </w:tc>
            </w:tr>
            <w:tr>
              <w:tc>
                <w:tcPr/>
                <w:p>
                  <w:pPr>
                    <w:pStyle w:val="Compact"/>
                  </w:pPr>
                </w:p>
              </w:tc>
              <w:tc>
                <w:tcPr/>
                <w:p>
                  <w:pPr>
                    <w:pStyle w:val="Compact"/>
                  </w:pPr>
                </w:p>
              </w:tc>
            </w:tr>
            <w:tr>
              <w:tc>
                <w:tcPr/>
                <w:p>
                  <w:pPr>
                    <w:pStyle w:val="Compact"/>
                    <w:jc w:val="left"/>
                    <w:jc w:val="center"/>
                  </w:pPr>
                  <w:r>
                    <w:t xml:space="preserve">Reporter Type</w:t>
                  </w:r>
                </w:p>
              </w:tc>
              <w:tc>
                <w:tcPr/>
                <w:p>
                  <w:pPr>
                    <w:pStyle w:val="Compact"/>
                  </w:pPr>
                </w:p>
              </w:tc>
            </w:tr>
            <w:tr>
              <w:tc>
                <w:tcPr/>
                <w:p>
                  <w:pPr>
                    <w:pStyle w:val="Compact"/>
                    <w:jc w:val="left"/>
                    <w:jc w:val="center"/>
                  </w:pPr>
                  <w:r>
                    <w:t xml:space="preserve">Consumer</w:t>
                  </w:r>
                </w:p>
              </w:tc>
              <w:tc>
                <w:tcPr/>
                <w:p>
                  <w:pPr>
                    <w:pStyle w:val="Compact"/>
                    <w:jc w:val="left"/>
                    <w:jc w:val="center"/>
                  </w:pPr>
                  <w:r>
                    <w:t xml:space="preserve">51 (13.8%)</w:t>
                  </w:r>
                </w:p>
              </w:tc>
            </w:tr>
            <w:tr>
              <w:tc>
                <w:tcPr/>
                <w:p>
                  <w:pPr>
                    <w:pStyle w:val="Compact"/>
                    <w:jc w:val="left"/>
                    <w:jc w:val="center"/>
                  </w:pPr>
                  <w:r>
                    <w:t xml:space="preserve">Healthcare Professional</w:t>
                  </w:r>
                </w:p>
              </w:tc>
              <w:tc>
                <w:tcPr/>
                <w:p>
                  <w:pPr>
                    <w:pStyle w:val="Compact"/>
                    <w:jc w:val="left"/>
                    <w:jc w:val="center"/>
                  </w:pPr>
                  <w:r>
                    <w:t xml:space="preserve">318 (86.2%)</w:t>
                  </w:r>
                </w:p>
              </w:tc>
            </w:tr>
            <w:tr>
              <w:tc>
                <w:tcPr/>
                <w:p>
                  <w:pPr>
                    <w:pStyle w:val="Compact"/>
                  </w:pPr>
                </w:p>
              </w:tc>
              <w:tc>
                <w:tcPr/>
                <w:p>
                  <w:pPr>
                    <w:pStyle w:val="Compact"/>
                  </w:pPr>
                </w:p>
              </w:tc>
            </w:tr>
            <w:tr>
              <w:tc>
                <w:tcPr/>
                <w:p>
                  <w:pPr>
                    <w:pStyle w:val="Compact"/>
                    <w:jc w:val="left"/>
                    <w:jc w:val="center"/>
                  </w:pPr>
                  <w:r>
                    <w:t xml:space="preserve">Country</w:t>
                  </w:r>
                </w:p>
              </w:tc>
              <w:tc>
                <w:tcPr/>
                <w:p>
                  <w:pPr>
                    <w:pStyle w:val="Compact"/>
                  </w:pPr>
                </w:p>
              </w:tc>
            </w:tr>
            <w:tr>
              <w:tc>
                <w:tcPr/>
                <w:p>
                  <w:pPr>
                    <w:pStyle w:val="Compact"/>
                    <w:jc w:val="left"/>
                    <w:jc w:val="center"/>
                  </w:pPr>
                  <w:r>
                    <w:t xml:space="preserve">Outside US</w:t>
                  </w:r>
                </w:p>
              </w:tc>
              <w:tc>
                <w:tcPr/>
                <w:p>
                  <w:pPr>
                    <w:pStyle w:val="Compact"/>
                    <w:jc w:val="left"/>
                    <w:jc w:val="center"/>
                  </w:pPr>
                  <w:r>
                    <w:t xml:space="preserve">208 (56.4%)</w:t>
                  </w:r>
                </w:p>
              </w:tc>
            </w:tr>
            <w:tr>
              <w:tc>
                <w:tcPr/>
                <w:p>
                  <w:pPr>
                    <w:pStyle w:val="Compact"/>
                    <w:jc w:val="left"/>
                    <w:jc w:val="center"/>
                  </w:pPr>
                  <w:r>
                    <w:t xml:space="preserve">US</w:t>
                  </w:r>
                </w:p>
              </w:tc>
              <w:tc>
                <w:tcPr/>
                <w:p>
                  <w:pPr>
                    <w:pStyle w:val="Compact"/>
                    <w:jc w:val="left"/>
                    <w:jc w:val="center"/>
                  </w:pPr>
                  <w:r>
                    <w:t xml:space="preserve">161 (43.6%)</w:t>
                  </w:r>
                </w:p>
              </w:tc>
            </w:tr>
            <w:tr>
              <w:tc>
                <w:tcPr/>
                <w:p>
                  <w:pPr>
                    <w:pStyle w:val="Compact"/>
                  </w:pPr>
                </w:p>
              </w:tc>
              <w:tc>
                <w:tcPr/>
                <w:p>
                  <w:pPr>
                    <w:pStyle w:val="Compact"/>
                  </w:pPr>
                </w:p>
              </w:tc>
            </w:tr>
            <w:tr>
              <w:tc>
                <w:tcPr/>
                <w:p>
                  <w:pPr>
                    <w:pStyle w:val="Compact"/>
                    <w:jc w:val="left"/>
                    <w:jc w:val="center"/>
                  </w:pPr>
                  <w:r>
                    <w:t xml:space="preserve">Reaction Type</w:t>
                  </w:r>
                </w:p>
              </w:tc>
              <w:tc>
                <w:tcPr/>
                <w:p>
                  <w:pPr>
                    <w:pStyle w:val="Compact"/>
                  </w:pPr>
                </w:p>
              </w:tc>
            </w:tr>
            <w:tr>
              <w:tc>
                <w:tcPr/>
                <w:p>
                  <w:pPr>
                    <w:pStyle w:val="Compact"/>
                    <w:jc w:val="left"/>
                    <w:jc w:val="center"/>
                  </w:pPr>
                  <w:r>
                    <w:t xml:space="preserve">Cardiovascular</w:t>
                  </w:r>
                </w:p>
              </w:tc>
              <w:tc>
                <w:tcPr/>
                <w:p>
                  <w:pPr>
                    <w:pStyle w:val="Compact"/>
                    <w:jc w:val="left"/>
                    <w:jc w:val="center"/>
                  </w:pPr>
                  <w:r>
                    <w:t xml:space="preserve">27 (7.3%)</w:t>
                  </w:r>
                </w:p>
              </w:tc>
            </w:tr>
            <w:tr>
              <w:tc>
                <w:tcPr/>
                <w:p>
                  <w:pPr>
                    <w:pStyle w:val="Compact"/>
                    <w:jc w:val="left"/>
                    <w:jc w:val="center"/>
                  </w:pPr>
                  <w:r>
                    <w:t xml:space="preserve">Endocrinological</w:t>
                  </w:r>
                </w:p>
              </w:tc>
              <w:tc>
                <w:tcPr/>
                <w:p>
                  <w:pPr>
                    <w:pStyle w:val="Compact"/>
                    <w:jc w:val="left"/>
                    <w:jc w:val="center"/>
                  </w:pPr>
                  <w:r>
                    <w:t xml:space="preserve">66 (17.9%)</w:t>
                  </w:r>
                </w:p>
              </w:tc>
            </w:tr>
            <w:tr>
              <w:tc>
                <w:tcPr/>
                <w:p>
                  <w:pPr>
                    <w:pStyle w:val="Compact"/>
                    <w:jc w:val="left"/>
                    <w:jc w:val="center"/>
                  </w:pPr>
                  <w:r>
                    <w:t xml:space="preserve">Gastrointestinal</w:t>
                  </w:r>
                </w:p>
              </w:tc>
              <w:tc>
                <w:tcPr/>
                <w:p>
                  <w:pPr>
                    <w:pStyle w:val="Compact"/>
                    <w:jc w:val="left"/>
                    <w:jc w:val="center"/>
                  </w:pPr>
                  <w:r>
                    <w:t xml:space="preserve">69 (18.7%)</w:t>
                  </w:r>
                </w:p>
              </w:tc>
            </w:tr>
            <w:tr>
              <w:tc>
                <w:tcPr/>
                <w:p>
                  <w:pPr>
                    <w:pStyle w:val="Compact"/>
                    <w:jc w:val="left"/>
                    <w:jc w:val="center"/>
                  </w:pPr>
                  <w:r>
                    <w:t xml:space="preserve">Neurological</w:t>
                  </w:r>
                </w:p>
              </w:tc>
              <w:tc>
                <w:tcPr/>
                <w:p>
                  <w:pPr>
                    <w:pStyle w:val="Compact"/>
                    <w:jc w:val="left"/>
                    <w:jc w:val="center"/>
                  </w:pPr>
                  <w:r>
                    <w:t xml:space="preserve">35 (9.5%)</w:t>
                  </w:r>
                </w:p>
              </w:tc>
            </w:tr>
            <w:tr>
              <w:tc>
                <w:tcPr/>
                <w:p>
                  <w:pPr>
                    <w:pStyle w:val="Compact"/>
                    <w:jc w:val="left"/>
                    <w:jc w:val="center"/>
                  </w:pPr>
                  <w:r>
                    <w:t xml:space="preserve">Other</w:t>
                  </w:r>
                </w:p>
              </w:tc>
              <w:tc>
                <w:tcPr/>
                <w:p>
                  <w:pPr>
                    <w:pStyle w:val="Compact"/>
                    <w:jc w:val="left"/>
                    <w:jc w:val="center"/>
                  </w:pPr>
                  <w:r>
                    <w:t xml:space="preserve">165 (44.7%)</w:t>
                  </w:r>
                </w:p>
              </w:tc>
            </w:tr>
            <w:tr>
              <w:tc>
                <w:tcPr/>
                <w:p>
                  <w:pPr>
                    <w:pStyle w:val="Compact"/>
                    <w:jc w:val="left"/>
                    <w:jc w:val="center"/>
                  </w:pPr>
                  <w:r>
                    <w:t xml:space="preserve">Skin</w:t>
                  </w:r>
                </w:p>
              </w:tc>
              <w:tc>
                <w:tcPr/>
                <w:p>
                  <w:pPr>
                    <w:pStyle w:val="Compact"/>
                    <w:jc w:val="left"/>
                    <w:jc w:val="center"/>
                  </w:pPr>
                  <w:r>
                    <w:t xml:space="preserve">118 (32%)</w:t>
                  </w:r>
                </w:p>
              </w:tc>
            </w:tr>
          </w:tbl>
          <w:bookmarkEnd w:id="29"/>
          <w:p/>
        </w:tc>
      </w:tr>
    </w:tbl>
    <w:bookmarkEnd w:id="30"/>
    <w:bookmarkStart w:id="39" w:name="basic-statistical-analysis"/>
    <w:p>
      <w:pPr>
        <w:pStyle w:val="Heading2"/>
      </w:pPr>
      <w:r>
        <w:t xml:space="preserve">4.2 Basic statistical analysis</w:t>
      </w:r>
    </w:p>
    <w:p>
      <w:pPr>
        <w:pStyle w:val="FirstParagraph"/>
      </w:pPr>
      <w:hyperlink w:anchor="fig-result">
        <w:r>
          <w:rPr>
            <w:rStyle w:val="Hyperlink"/>
            <w:i/>
            <w:iCs/>
          </w:rPr>
          <w:t xml:space="preserve">Figure 1</w:t>
        </w:r>
      </w:hyperlink>
      <w:r>
        <w:rPr>
          <w:i/>
          <w:iCs/>
        </w:rPr>
        <w:t xml:space="preserve"> </w:t>
      </w:r>
      <w:r>
        <w:rPr>
          <w:i/>
          <w:iCs/>
        </w:rPr>
        <w:t xml:space="preserve">shows the number of reactions by drug, along with the seriousness of the reaction.</w:t>
      </w:r>
    </w:p>
    <w:tbl>
      <w:tblPr>
        <w:tblStyle w:val="Table"/>
        <w:tblW w:type="pct" w:w="5000"/>
        <w:tblLayout w:type="fixed"/>
        <w:tblLook w:firstRow="0" w:lastRow="0" w:firstColumn="0" w:lastColumn="0" w:noHBand="0" w:noVBand="0" w:val="0000"/>
      </w:tblPr>
      <w:tblGrid>
        <w:gridCol w:w="7920"/>
      </w:tblGrid>
      <w:tr>
        <w:tc>
          <w:tcPr/>
          <w:bookmarkStart w:id="34" w:name="fig-result"/>
          <w:p>
            <w:pPr>
              <w:pStyle w:val="Compact"/>
              <w:jc w:val="center"/>
            </w:pPr>
            <w:r>
              <w:drawing>
                <wp:inline>
                  <wp:extent cx="5334000" cy="3807460"/>
                  <wp:effectExtent b="0" l="0" r="0" t="0"/>
                  <wp:docPr descr="" title="" id="32" name="Picture"/>
                  <a:graphic>
                    <a:graphicData uri="http://schemas.openxmlformats.org/drawingml/2006/picture">
                      <pic:pic>
                        <pic:nvPicPr>
                          <pic:cNvPr descr="../../results/figures/figure1.png" id="33" name="Picture"/>
                          <pic:cNvPicPr>
                            <a:picLocks noChangeArrowheads="1" noChangeAspect="1"/>
                          </pic:cNvPicPr>
                        </pic:nvPicPr>
                        <pic:blipFill>
                          <a:blip r:embed="rId31"/>
                          <a:stretch>
                            <a:fillRect/>
                          </a:stretch>
                        </pic:blipFill>
                        <pic:spPr bwMode="auto">
                          <a:xfrm>
                            <a:off x="0" y="0"/>
                            <a:ext cx="5334000" cy="38074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1: Bar chart of outcome of immune checkpoint inhibitors</w:t>
            </w:r>
          </w:p>
          <w:bookmarkEnd w:id="34"/>
        </w:tc>
      </w:tr>
    </w:tbl>
    <w:p>
      <w:pPr>
        <w:pStyle w:val="BodyText"/>
      </w:pPr>
      <w:hyperlink w:anchor="fig-result1">
        <w:r>
          <w:rPr>
            <w:rStyle w:val="Hyperlink"/>
            <w:i/>
            <w:iCs/>
          </w:rPr>
          <w:t xml:space="preserve">Figure 2</w:t>
        </w:r>
      </w:hyperlink>
      <w:r>
        <w:rPr>
          <w:i/>
          <w:iCs/>
        </w:rPr>
        <w:t xml:space="preserve"> </w:t>
      </w:r>
      <w:r>
        <w:rPr>
          <w:i/>
          <w:iCs/>
        </w:rPr>
        <w:t xml:space="preserve">shows the bar chart by type of organ system involved in the reaction.</w:t>
      </w:r>
    </w:p>
    <w:tbl>
      <w:tblPr>
        <w:tblStyle w:val="Table"/>
        <w:tblW w:type="pct" w:w="5000"/>
        <w:tblLayout w:type="fixed"/>
        <w:tblLook w:firstRow="0" w:lastRow="0" w:firstColumn="0" w:lastColumn="0" w:noHBand="0" w:noVBand="0" w:val="0000"/>
      </w:tblPr>
      <w:tblGrid>
        <w:gridCol w:w="7920"/>
      </w:tblGrid>
      <w:tr>
        <w:tc>
          <w:tcPr/>
          <w:bookmarkStart w:id="38" w:name="fig-result1"/>
          <w:p>
            <w:pPr>
              <w:pStyle w:val="Compact"/>
              <w:jc w:val="center"/>
            </w:pPr>
            <w:r>
              <w:drawing>
                <wp:inline>
                  <wp:extent cx="5334000" cy="3807460"/>
                  <wp:effectExtent b="0" l="0" r="0" t="0"/>
                  <wp:docPr descr="" title="" id="36" name="Picture"/>
                  <a:graphic>
                    <a:graphicData uri="http://schemas.openxmlformats.org/drawingml/2006/picture">
                      <pic:pic>
                        <pic:nvPicPr>
                          <pic:cNvPr descr="../../results/figures/figure2.png" id="37" name="Picture"/>
                          <pic:cNvPicPr>
                            <a:picLocks noChangeArrowheads="1" noChangeAspect="1"/>
                          </pic:cNvPicPr>
                        </pic:nvPicPr>
                        <pic:blipFill>
                          <a:blip r:embed="rId35"/>
                          <a:stretch>
                            <a:fillRect/>
                          </a:stretch>
                        </pic:blipFill>
                        <pic:spPr bwMode="auto">
                          <a:xfrm>
                            <a:off x="0" y="0"/>
                            <a:ext cx="5334000" cy="3807460"/>
                          </a:xfrm>
                          <a:prstGeom prst="rect">
                            <a:avLst/>
                          </a:prstGeom>
                          <a:noFill/>
                          <a:ln w="9525">
                            <a:noFill/>
                            <a:headEnd/>
                            <a:tailEnd/>
                          </a:ln>
                        </pic:spPr>
                      </pic:pic>
                    </a:graphicData>
                  </a:graphic>
                </wp:inline>
              </w:drawing>
            </w:r>
          </w:p>
          <w:p>
            <w:pPr>
              <w:jc w:val="center"/>
            </w:pPr>
            <w:pPr>
              <w:jc w:val="start"/>
              <w:spacing w:before="200"/>
              <w:pStyle w:val="ImageCaption"/>
            </w:pPr>
            <w:r>
              <w:t xml:space="preserve">Figure 2: Bar chart of types of reactions</w:t>
            </w:r>
          </w:p>
          <w:bookmarkEnd w:id="38"/>
        </w:tc>
      </w:tr>
    </w:tbl>
    <w:bookmarkEnd w:id="39"/>
    <w:bookmarkStart w:id="41" w:name="full-analysis"/>
    <w:p>
      <w:pPr>
        <w:pStyle w:val="Heading2"/>
      </w:pPr>
      <w:r>
        <w:t xml:space="preserve">4.3 Full analysis</w:t>
      </w:r>
    </w:p>
    <w:p>
      <w:pPr>
        <w:pStyle w:val="FirstParagraph"/>
      </w:pPr>
      <w:r>
        <w:rPr>
          <w:i/>
          <w:iCs/>
        </w:rPr>
        <w:t xml:space="preserve">This part has not yet been edited.</w:t>
      </w:r>
    </w:p>
    <w:p>
      <w:pPr>
        <w:pStyle w:val="BodyText"/>
      </w:pPr>
      <w:r>
        <w:rPr>
          <w:i/>
          <w:iCs/>
        </w:rPr>
        <w:t xml:space="preserve">Use one or several suitable statistical/machine learning methods to analyze your data and to produce meaningful figures, tables, etc. This might again be code that is best placed in one or several separate R scripts that need to be well documented. You want the code to produce figures and data ready for display as tables, and save those. Then you load them here.</w:t>
      </w:r>
    </w:p>
    <w:p>
      <w:pPr>
        <w:pStyle w:val="BodyText"/>
      </w:pPr>
      <w:r>
        <w:t xml:space="preserve">Example</w:t>
      </w:r>
      <w:r>
        <w:t xml:space="preserve"> </w:t>
      </w:r>
      <w:hyperlink w:anchor="tbl-resulttable2">
        <w:r>
          <w:rPr>
            <w:rStyle w:val="Hyperlink"/>
          </w:rPr>
          <w:t xml:space="preserve">Table 2</w:t>
        </w:r>
      </w:hyperlink>
      <w:r>
        <w:t xml:space="preserve"> </w:t>
      </w:r>
      <w:r>
        <w:t xml:space="preserve">shows a summary of a linear model fit.</w:t>
      </w:r>
    </w:p>
    <w:tbl>
      <w:tblPr>
        <w:tblStyle w:val="Table"/>
        <w:tblW w:type="pct" w:w="5000"/>
        <w:tblLayout w:type="fixed"/>
        <w:tblLook w:firstRow="0" w:lastRow="0" w:firstColumn="0" w:lastColumn="0" w:noHBand="0" w:noVBand="0" w:val="0000"/>
      </w:tblPr>
      <w:tblGrid>
        <w:gridCol w:w="7920"/>
      </w:tblGrid>
      <w:tr>
        <w:tc>
          <w:tcPr/>
          <w:bookmarkStart w:id="40" w:name="tbl-resulttable2"/>
          <w:p>
            <w:pPr>
              <w:jc w:val="center"/>
            </w:pPr>
            <w:pPr>
              <w:jc w:val="start"/>
              <w:spacing w:before="200"/>
              <w:pStyle w:val="ImageCaption"/>
            </w:pPr>
            <w:r>
              <w:t xml:space="preserve">Table 2: Linear model fit table.</w:t>
            </w:r>
          </w:p>
          <w:tbl>
            <w:tblPr>
              <w:tblStyle w:val="Table"/>
              <w:tblW w:type="auto" w:w="0"/>
              <w:tblLook w:firstRow="1" w:lastRow="0" w:firstColumn="0" w:lastColumn="0" w:noHBand="0" w:noVBand="0" w:val="0020"/>
            </w:tblPr>
            <w:tblGrid>
              <w:gridCol w:w="1584"/>
              <w:gridCol w:w="1584"/>
              <w:gridCol w:w="1584"/>
              <w:gridCol w:w="1584"/>
              <w:gridCol w:w="1584"/>
            </w:tblGrid>
            <w:tr>
              <w:trPr>
                <w:tblHeader w:val="on"/>
              </w:trPr>
              <w:tc>
                <w:tcPr/>
                <w:p>
                  <w:pPr>
                    <w:pStyle w:val="Compact"/>
                    <w:jc w:val="left"/>
                    <w:jc w:val="center"/>
                  </w:pPr>
                  <w:r>
                    <w:t xml:space="preserve">term</w:t>
                  </w:r>
                </w:p>
              </w:tc>
              <w:tc>
                <w:tcPr/>
                <w:p>
                  <w:pPr>
                    <w:pStyle w:val="Compact"/>
                    <w:jc w:val="right"/>
                    <w:jc w:val="center"/>
                  </w:pPr>
                  <w:r>
                    <w:t xml:space="preserve">estimate</w:t>
                  </w:r>
                </w:p>
              </w:tc>
              <w:tc>
                <w:tcPr/>
                <w:p>
                  <w:pPr>
                    <w:pStyle w:val="Compact"/>
                    <w:jc w:val="right"/>
                    <w:jc w:val="center"/>
                  </w:pPr>
                  <w:r>
                    <w:t xml:space="preserve">std.error</w:t>
                  </w:r>
                </w:p>
              </w:tc>
              <w:tc>
                <w:tcPr/>
                <w:p>
                  <w:pPr>
                    <w:pStyle w:val="Compact"/>
                    <w:jc w:val="right"/>
                    <w:jc w:val="center"/>
                  </w:pPr>
                  <w:r>
                    <w:t xml:space="preserve">statistic</w:t>
                  </w:r>
                </w:p>
              </w:tc>
              <w:tc>
                <w:tcPr/>
                <w:p>
                  <w:pPr>
                    <w:pStyle w:val="Compact"/>
                    <w:jc w:val="right"/>
                    <w:jc w:val="center"/>
                  </w:pPr>
                  <w:r>
                    <w:t xml:space="preserve">p.value</w:t>
                  </w:r>
                </w:p>
              </w:tc>
            </w:tr>
            <w:tr>
              <w:tc>
                <w:tcPr/>
                <w:p>
                  <w:pPr>
                    <w:pStyle w:val="Compact"/>
                    <w:jc w:val="left"/>
                    <w:jc w:val="center"/>
                  </w:pPr>
                  <w:r>
                    <w:t xml:space="preserve">(Intercept)</w:t>
                  </w:r>
                </w:p>
              </w:tc>
              <w:tc>
                <w:tcPr/>
                <w:p>
                  <w:pPr>
                    <w:pStyle w:val="Compact"/>
                    <w:jc w:val="right"/>
                    <w:jc w:val="center"/>
                  </w:pPr>
                  <w:r>
                    <w:t xml:space="preserve">149.2726967</w:t>
                  </w:r>
                </w:p>
              </w:tc>
              <w:tc>
                <w:tcPr/>
                <w:p>
                  <w:pPr>
                    <w:pStyle w:val="Compact"/>
                    <w:jc w:val="right"/>
                    <w:jc w:val="center"/>
                  </w:pPr>
                  <w:r>
                    <w:t xml:space="preserve">23.3823360</w:t>
                  </w:r>
                </w:p>
              </w:tc>
              <w:tc>
                <w:tcPr/>
                <w:p>
                  <w:pPr>
                    <w:pStyle w:val="Compact"/>
                    <w:jc w:val="right"/>
                    <w:jc w:val="center"/>
                  </w:pPr>
                  <w:r>
                    <w:t xml:space="preserve">6.3839942</w:t>
                  </w:r>
                </w:p>
              </w:tc>
              <w:tc>
                <w:tcPr/>
                <w:p>
                  <w:pPr>
                    <w:pStyle w:val="Compact"/>
                    <w:jc w:val="right"/>
                    <w:jc w:val="center"/>
                  </w:pPr>
                  <w:r>
                    <w:t xml:space="preserve">0.0013962</w:t>
                  </w:r>
                </w:p>
              </w:tc>
            </w:tr>
            <w:tr>
              <w:tc>
                <w:tcPr/>
                <w:p>
                  <w:pPr>
                    <w:pStyle w:val="Compact"/>
                    <w:jc w:val="left"/>
                    <w:jc w:val="center"/>
                  </w:pPr>
                  <w:r>
                    <w:t xml:space="preserve">Weight</w:t>
                  </w:r>
                </w:p>
              </w:tc>
              <w:tc>
                <w:tcPr/>
                <w:p>
                  <w:pPr>
                    <w:pStyle w:val="Compact"/>
                    <w:jc w:val="right"/>
                    <w:jc w:val="center"/>
                  </w:pPr>
                  <w:r>
                    <w:t xml:space="preserve">0.2623972</w:t>
                  </w:r>
                </w:p>
              </w:tc>
              <w:tc>
                <w:tcPr/>
                <w:p>
                  <w:pPr>
                    <w:pStyle w:val="Compact"/>
                    <w:jc w:val="right"/>
                    <w:jc w:val="center"/>
                  </w:pPr>
                  <w:r>
                    <w:t xml:space="preserve">0.3512436</w:t>
                  </w:r>
                </w:p>
              </w:tc>
              <w:tc>
                <w:tcPr/>
                <w:p>
                  <w:pPr>
                    <w:pStyle w:val="Compact"/>
                    <w:jc w:val="right"/>
                    <w:jc w:val="center"/>
                  </w:pPr>
                  <w:r>
                    <w:t xml:space="preserve">0.7470519</w:t>
                  </w:r>
                </w:p>
              </w:tc>
              <w:tc>
                <w:tcPr/>
                <w:p>
                  <w:pPr>
                    <w:pStyle w:val="Compact"/>
                    <w:jc w:val="right"/>
                    <w:jc w:val="center"/>
                  </w:pPr>
                  <w:r>
                    <w:t xml:space="preserve">0.4886517</w:t>
                  </w:r>
                </w:p>
              </w:tc>
            </w:tr>
            <w:tr>
              <w:tc>
                <w:tcPr/>
                <w:p>
                  <w:pPr>
                    <w:pStyle w:val="Compact"/>
                    <w:jc w:val="left"/>
                    <w:jc w:val="center"/>
                  </w:pPr>
                  <w:r>
                    <w:t xml:space="preserve">GenderM</w:t>
                  </w:r>
                </w:p>
              </w:tc>
              <w:tc>
                <w:tcPr/>
                <w:p>
                  <w:pPr>
                    <w:pStyle w:val="Compact"/>
                    <w:jc w:val="right"/>
                    <w:jc w:val="center"/>
                  </w:pPr>
                  <w:r>
                    <w:t xml:space="preserve">-2.1244913</w:t>
                  </w:r>
                </w:p>
              </w:tc>
              <w:tc>
                <w:tcPr/>
                <w:p>
                  <w:pPr>
                    <w:pStyle w:val="Compact"/>
                    <w:jc w:val="right"/>
                    <w:jc w:val="center"/>
                  </w:pPr>
                  <w:r>
                    <w:t xml:space="preserve">15.5488953</w:t>
                  </w:r>
                </w:p>
              </w:tc>
              <w:tc>
                <w:tcPr/>
                <w:p>
                  <w:pPr>
                    <w:pStyle w:val="Compact"/>
                    <w:jc w:val="right"/>
                    <w:jc w:val="center"/>
                  </w:pPr>
                  <w:r>
                    <w:t xml:space="preserve">-0.1366329</w:t>
                  </w:r>
                </w:p>
              </w:tc>
              <w:tc>
                <w:tcPr/>
                <w:p>
                  <w:pPr>
                    <w:pStyle w:val="Compact"/>
                    <w:jc w:val="right"/>
                    <w:jc w:val="center"/>
                  </w:pPr>
                  <w:r>
                    <w:t xml:space="preserve">0.8966520</w:t>
                  </w:r>
                </w:p>
              </w:tc>
            </w:tr>
            <w:tr>
              <w:tc>
                <w:tcPr/>
                <w:p>
                  <w:pPr>
                    <w:pStyle w:val="Compact"/>
                    <w:jc w:val="left"/>
                    <w:jc w:val="center"/>
                  </w:pPr>
                  <w:r>
                    <w:t xml:space="preserve">GenderO</w:t>
                  </w:r>
                </w:p>
              </w:tc>
              <w:tc>
                <w:tcPr/>
                <w:p>
                  <w:pPr>
                    <w:pStyle w:val="Compact"/>
                    <w:jc w:val="right"/>
                    <w:jc w:val="center"/>
                  </w:pPr>
                  <w:r>
                    <w:t xml:space="preserve">-4.7644739</w:t>
                  </w:r>
                </w:p>
              </w:tc>
              <w:tc>
                <w:tcPr/>
                <w:p>
                  <w:pPr>
                    <w:pStyle w:val="Compact"/>
                    <w:jc w:val="right"/>
                    <w:jc w:val="center"/>
                  </w:pPr>
                  <w:r>
                    <w:t xml:space="preserve">19.0114155</w:t>
                  </w:r>
                </w:p>
              </w:tc>
              <w:tc>
                <w:tcPr/>
                <w:p>
                  <w:pPr>
                    <w:pStyle w:val="Compact"/>
                    <w:jc w:val="right"/>
                    <w:jc w:val="center"/>
                  </w:pPr>
                  <w:r>
                    <w:t xml:space="preserve">-0.2506112</w:t>
                  </w:r>
                </w:p>
              </w:tc>
              <w:tc>
                <w:tcPr/>
                <w:p>
                  <w:pPr>
                    <w:pStyle w:val="Compact"/>
                    <w:jc w:val="right"/>
                    <w:jc w:val="center"/>
                  </w:pPr>
                  <w:r>
                    <w:t xml:space="preserve">0.8120871</w:t>
                  </w:r>
                </w:p>
              </w:tc>
            </w:tr>
          </w:tbl>
          <w:bookmarkEnd w:id="40"/>
          <w:p/>
        </w:tc>
      </w:tr>
    </w:tbl>
    <w:p>
      <w:r>
        <w:br w:type="page"/>
      </w:r>
    </w:p>
    <w:bookmarkEnd w:id="41"/>
    <w:bookmarkEnd w:id="42"/>
    <w:bookmarkStart w:id="47" w:name="discussion"/>
    <w:p>
      <w:pPr>
        <w:pStyle w:val="Heading1"/>
      </w:pPr>
      <w:r>
        <w:t xml:space="preserve">5. Discussion</w:t>
      </w:r>
    </w:p>
    <w:bookmarkStart w:id="43" w:name="summary-and-interpretation"/>
    <w:p>
      <w:pPr>
        <w:pStyle w:val="Heading2"/>
      </w:pPr>
      <w:r>
        <w:t xml:space="preserve">5.1 Summary and Interpretation</w:t>
      </w:r>
    </w:p>
    <w:p>
      <w:pPr>
        <w:pStyle w:val="FirstParagraph"/>
      </w:pPr>
      <w:r>
        <w:rPr>
          <w:i/>
          <w:iCs/>
        </w:rPr>
        <w:t xml:space="preserve">Summarize what you did, what you found and what it means.</w:t>
      </w:r>
    </w:p>
    <w:bookmarkEnd w:id="43"/>
    <w:bookmarkStart w:id="44" w:name="strengths-and-limitations"/>
    <w:p>
      <w:pPr>
        <w:pStyle w:val="Heading2"/>
      </w:pPr>
      <w:r>
        <w:t xml:space="preserve">5.2 Strengths and Limitations</w:t>
      </w:r>
    </w:p>
    <w:p>
      <w:pPr>
        <w:pStyle w:val="FirstParagraph"/>
      </w:pPr>
      <w:r>
        <w:rPr>
          <w:i/>
          <w:iCs/>
        </w:rPr>
        <w:t xml:space="preserve">Discuss what you perceive as strengths and limitations of your analysis.</w:t>
      </w:r>
    </w:p>
    <w:bookmarkEnd w:id="44"/>
    <w:bookmarkStart w:id="46" w:name="conclusions"/>
    <w:p>
      <w:pPr>
        <w:pStyle w:val="Heading2"/>
      </w:pPr>
      <w:r>
        <w:t xml:space="preserve">5.3 Conclusions</w:t>
      </w:r>
    </w:p>
    <w:p>
      <w:pPr>
        <w:pStyle w:val="FirstParagraph"/>
      </w:pPr>
      <w:r>
        <w:rPr>
          <w:i/>
          <w:iCs/>
        </w:rPr>
        <w:t xml:space="preserve">What are the main take-home messages?</w:t>
      </w:r>
    </w:p>
    <w:p>
      <w:pPr>
        <w:pStyle w:val="BodyText"/>
      </w:pPr>
      <w:r>
        <w:rPr>
          <w:i/>
          <w:iCs/>
        </w:rPr>
        <w:t xml:space="preserve">Include citations in your Rmd file using bibtex, the list of references will automatically be placed at the end</w:t>
      </w:r>
    </w:p>
    <w:p>
      <w:pPr>
        <w:pStyle w:val="BodyText"/>
      </w:pPr>
      <w:r>
        <w:t xml:space="preserve">Note that this cited reference will show up at the end of the document, the reference formatting is determined by the CSL file specified in the YAML header. Many more style files for almost any journal</w:t>
      </w:r>
      <w:r>
        <w:t xml:space="preserve"> </w:t>
      </w:r>
      <w:hyperlink r:id="rId45">
        <w:r>
          <w:rPr>
            <w:rStyle w:val="Hyperlink"/>
          </w:rPr>
          <w:t xml:space="preserve">are available</w:t>
        </w:r>
      </w:hyperlink>
      <w:r>
        <w:t xml:space="preserve">. You also specify the location of your bibtex reference file in the YAML. You can call your reference file anything you like.</w:t>
      </w:r>
    </w:p>
    <w:p>
      <w:r>
        <w:br w:type="page"/>
      </w:r>
    </w:p>
    <w:bookmarkEnd w:id="46"/>
    <w:bookmarkEnd w:id="47"/>
    <w:bookmarkStart w:id="59" w:name="references"/>
    <w:p>
      <w:pPr>
        <w:pStyle w:val="Heading1"/>
      </w:pPr>
      <w:r>
        <w:t xml:space="preserve">6. References</w:t>
      </w:r>
    </w:p>
    <w:bookmarkStart w:id="58" w:name="refs"/>
    <w:bookmarkStart w:id="49" w:name="ref-Bray2024"/>
    <w:p>
      <w:pPr>
        <w:pStyle w:val="Bibliography"/>
      </w:pPr>
      <w:r>
        <w:t xml:space="preserve">1.</w:t>
      </w:r>
      <w:r>
        <w:t xml:space="preserve"> </w:t>
      </w:r>
      <w:r>
        <w:t xml:space="preserve">	</w:t>
      </w:r>
      <w:r>
        <w:t xml:space="preserve">Bray F, Laversanne M, Sung H, Ferlay J, Siegel RL, Soerjomataram I, Jemal A. Global cancer statistics 2022: GLOBOCAN estimates of incidence and mortality worldwide for 36 cancers in 185 countries. CA: A Cancer Journal for Clinicians [Internet]. Wiley; 2024 Apr;74(3):229–263. Available from:</w:t>
      </w:r>
      <w:r>
        <w:t xml:space="preserve"> </w:t>
      </w:r>
      <w:hyperlink r:id="rId48">
        <w:r>
          <w:rPr>
            <w:rStyle w:val="Hyperlink"/>
          </w:rPr>
          <w:t xml:space="preserve">http://dx.doi.org/10.3322/caac.21834</w:t>
        </w:r>
      </w:hyperlink>
    </w:p>
    <w:bookmarkEnd w:id="49"/>
    <w:bookmarkStart w:id="50" w:name="ref-Leslie2025-lp"/>
    <w:p>
      <w:pPr>
        <w:pStyle w:val="Bibliography"/>
      </w:pPr>
      <w:r>
        <w:t xml:space="preserve">2.</w:t>
      </w:r>
      <w:r>
        <w:t xml:space="preserve"> </w:t>
      </w:r>
      <w:r>
        <w:t xml:space="preserve">	</w:t>
      </w:r>
      <w:r>
        <w:t xml:space="preserve">Leslie SW, Soon-Sutton TL, Aeddula NR. Bladder cancer.</w:t>
      </w:r>
      <w:r>
        <w:t xml:space="preserve"> </w:t>
      </w:r>
      <w:r>
        <w:t xml:space="preserve">StatPearls</w:t>
      </w:r>
      <w:r>
        <w:t xml:space="preserve">. Treasure Island (FL): StatPearls Publishing; 2025.</w:t>
      </w:r>
      <w:r>
        <w:t xml:space="preserve"> </w:t>
      </w:r>
    </w:p>
    <w:bookmarkEnd w:id="50"/>
    <w:bookmarkStart w:id="52" w:name="ref-Jubber2023"/>
    <w:p>
      <w:pPr>
        <w:pStyle w:val="Bibliography"/>
      </w:pPr>
      <w:r>
        <w:t xml:space="preserve">3.</w:t>
      </w:r>
      <w:r>
        <w:t xml:space="preserve"> </w:t>
      </w:r>
      <w:r>
        <w:t xml:space="preserve">	</w:t>
      </w:r>
      <w:r>
        <w:t xml:space="preserve">Jubber I, Ong S, Bukavina L, Black PC, Compérat E, Kamat AM, Kiemeney L, Lawrentschuk N, Lerner SP, Meeks JJ, Moch H, Necchi A, Panebianco V, Sridhar SS, Znaor A, Catto JWF, Cumberbatch MG. Epidemiology of bladder cancer in 2023: A systematic review of risk factors. European Urology [Internet]. Elsevier BV; 2023 Aug;84(2):176–190. Available from:</w:t>
      </w:r>
      <w:r>
        <w:t xml:space="preserve"> </w:t>
      </w:r>
      <w:hyperlink r:id="rId51">
        <w:r>
          <w:rPr>
            <w:rStyle w:val="Hyperlink"/>
          </w:rPr>
          <w:t xml:space="preserve">http://dx.doi.org/10.1016/j.eururo.2023.03.029</w:t>
        </w:r>
      </w:hyperlink>
    </w:p>
    <w:bookmarkEnd w:id="52"/>
    <w:bookmarkStart w:id="54" w:name="ref-Flaig2024"/>
    <w:p>
      <w:pPr>
        <w:pStyle w:val="Bibliography"/>
      </w:pPr>
      <w:r>
        <w:t xml:space="preserve">4.</w:t>
      </w:r>
      <w:r>
        <w:t xml:space="preserve"> </w:t>
      </w:r>
      <w:r>
        <w:t xml:space="preserve">	</w:t>
      </w:r>
      <w:r>
        <w:t xml:space="preserve">Flaig TW, Spiess PE, Abern M, Agarwal N, Bangs R, Buyyounouski MK, Chan K, Chang SS, Chang P, Friedlander T, Greenberg RE, Guru KA, Herr HW, Hoffman-Censits J, Kaimakliotis H, Kishan AU, Kundu S, Lele SM, Mamtani R, Mian OY, Michalski J, Montgomery JS, Parikh M, Patterson A, Peyton C, Plimack ER, Preston MA, Richards K, Sexton WJ, Siefker-Radtke AO, Stewart T, Sundi D, Tollefson M, Tward J, Wright JL, Cassara CJ, Gurski LA. Bladder cancer, version 3.2024: Featured updates to the NCCN guidelines. Journal of the National Comprehensive Cancer Network [Internet]. Harborside Press, LLC; 2024 May;22(4):216–225. Available from:</w:t>
      </w:r>
      <w:r>
        <w:t xml:space="preserve"> </w:t>
      </w:r>
      <w:hyperlink r:id="rId53">
        <w:r>
          <w:rPr>
            <w:rStyle w:val="Hyperlink"/>
          </w:rPr>
          <w:t xml:space="preserve">http://dx.doi.org/10.6004/jnccn.2024.0024</w:t>
        </w:r>
      </w:hyperlink>
    </w:p>
    <w:bookmarkEnd w:id="54"/>
    <w:bookmarkStart w:id="56" w:name="ref-Yin2023"/>
    <w:p>
      <w:pPr>
        <w:pStyle w:val="Bibliography"/>
      </w:pPr>
      <w:r>
        <w:t xml:space="preserve">5.</w:t>
      </w:r>
      <w:r>
        <w:t xml:space="preserve"> </w:t>
      </w:r>
      <w:r>
        <w:t xml:space="preserve">	</w:t>
      </w:r>
      <w:r>
        <w:t xml:space="preserve">Yin Q, Wu L, Han L, Zheng X, Tong R, Li L, Bai L, Bian Y. Immune-related adverse events of immune checkpoint inhibitors: A review. Frontiers in Immunology [Internet]. Frontiers Media SA; 2023 May;14. Available from:</w:t>
      </w:r>
      <w:r>
        <w:t xml:space="preserve"> </w:t>
      </w:r>
      <w:hyperlink r:id="rId55">
        <w:r>
          <w:rPr>
            <w:rStyle w:val="Hyperlink"/>
          </w:rPr>
          <w:t xml:space="preserve">http://dx.doi.org/10.3389/fimmu.2023.1167975</w:t>
        </w:r>
      </w:hyperlink>
    </w:p>
    <w:bookmarkEnd w:id="56"/>
    <w:bookmarkStart w:id="57" w:name="ref-us2018fda"/>
    <w:p>
      <w:pPr>
        <w:pStyle w:val="Bibliography"/>
      </w:pPr>
      <w:r>
        <w:t xml:space="preserve">6.</w:t>
      </w:r>
      <w:r>
        <w:t xml:space="preserve"> </w:t>
      </w:r>
      <w:r>
        <w:t xml:space="preserve">	</w:t>
      </w:r>
      <w:r>
        <w:t xml:space="preserve">Food U, Administration D, others. FDA adverse event reporting system (FAERS) public dashboard. Data as of March. 2018;31.</w:t>
      </w:r>
      <w:r>
        <w:t xml:space="preserve"> </w:t>
      </w:r>
    </w:p>
    <w:bookmarkEnd w:id="57"/>
    <w:bookmarkEnd w:id="58"/>
    <w:bookmarkEnd w:id="5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d73a49"/>
    </w:rPr>
  </w:style>
  <w:style w:type="character" w:customStyle="1" w:styleId="DataTypeTok">
    <w:name w:val="DataTypeTok"/>
    <w:basedOn w:val="VerbatimChar"/>
    <w:rPr>
      <w:color w:val="d73a49"/>
    </w:rPr>
  </w:style>
  <w:style w:type="character" w:customStyle="1" w:styleId="DecValTok">
    <w:name w:val="DecValTok"/>
    <w:basedOn w:val="VerbatimChar"/>
    <w:rPr>
      <w:color w:val="005cc5"/>
    </w:rPr>
  </w:style>
  <w:style w:type="character" w:customStyle="1" w:styleId="BaseNTok">
    <w:name w:val="BaseNTok"/>
    <w:basedOn w:val="VerbatimChar"/>
    <w:rPr>
      <w:color w:val="005cc5"/>
    </w:rPr>
  </w:style>
  <w:style w:type="character" w:customStyle="1" w:styleId="FloatTok">
    <w:name w:val="FloatTok"/>
    <w:basedOn w:val="VerbatimChar"/>
    <w:rPr>
      <w:color w:val="005cc5"/>
    </w:rPr>
  </w:style>
  <w:style w:type="character" w:customStyle="1" w:styleId="ConstantTok">
    <w:name w:val="ConstantTok"/>
    <w:basedOn w:val="VerbatimChar"/>
    <w:rPr>
      <w:color w:val="005cc5"/>
    </w:rPr>
  </w:style>
  <w:style w:type="character" w:customStyle="1" w:styleId="CharTok">
    <w:name w:val="CharTok"/>
    <w:basedOn w:val="VerbatimChar"/>
    <w:rPr>
      <w:color w:val="032f62"/>
    </w:rPr>
  </w:style>
  <w:style w:type="character" w:customStyle="1" w:styleId="SpecialCharTok">
    <w:name w:val="SpecialCharTok"/>
    <w:basedOn w:val="VerbatimChar"/>
    <w:rPr>
      <w:color w:val="005cc5"/>
    </w:rPr>
  </w:style>
  <w:style w:type="character" w:customStyle="1" w:styleId="StringTok">
    <w:name w:val="StringTok"/>
    <w:basedOn w:val="VerbatimChar"/>
    <w:rPr>
      <w:color w:val="032f62"/>
    </w:rPr>
  </w:style>
  <w:style w:type="character" w:customStyle="1" w:styleId="VerbatimStringTok">
    <w:name w:val="VerbatimStringTok"/>
    <w:basedOn w:val="VerbatimChar"/>
    <w:rPr>
      <w:color w:val="032f62"/>
    </w:rPr>
  </w:style>
  <w:style w:type="character" w:customStyle="1" w:styleId="SpecialStringTok">
    <w:name w:val="SpecialStringTok"/>
    <w:basedOn w:val="VerbatimChar"/>
    <w:rPr>
      <w:color w:val="032f62"/>
    </w:rPr>
  </w:style>
  <w:style w:type="character" w:customStyle="1" w:styleId="ImportTok">
    <w:name w:val="ImportTok"/>
    <w:basedOn w:val="VerbatimChar"/>
    <w:rPr>
      <w:color w:val="032f62"/>
    </w:rPr>
  </w:style>
  <w:style w:type="character" w:customStyle="1" w:styleId="CommentTok">
    <w:name w:val="CommentTok"/>
    <w:basedOn w:val="VerbatimChar"/>
    <w:rPr>
      <w:color w:val="6a737d"/>
    </w:rPr>
  </w:style>
  <w:style w:type="character" w:customStyle="1" w:styleId="DocumentationTok">
    <w:name w:val="DocumentationTok"/>
    <w:basedOn w:val="VerbatimChar"/>
    <w:rPr>
      <w:color w:val="6a737d"/>
    </w:rPr>
  </w:style>
  <w:style w:type="character" w:customStyle="1" w:styleId="AnnotationTok">
    <w:name w:val="AnnotationTok"/>
    <w:basedOn w:val="VerbatimChar"/>
    <w:rPr>
      <w:color w:val="6a737d"/>
    </w:rPr>
  </w:style>
  <w:style w:type="character" w:customStyle="1" w:styleId="CommentVarTok">
    <w:name w:val="CommentVarTok"/>
    <w:basedOn w:val="VerbatimChar"/>
    <w:rPr>
      <w:color w:val="6a737d"/>
    </w:rPr>
  </w:style>
  <w:style w:type="character" w:customStyle="1" w:styleId="OtherTok">
    <w:name w:val="OtherTok"/>
    <w:basedOn w:val="VerbatimChar"/>
    <w:rPr>
      <w:color w:val="6f42c1"/>
    </w:rPr>
  </w:style>
  <w:style w:type="character" w:customStyle="1" w:styleId="FunctionTok">
    <w:name w:val="FunctionTok"/>
    <w:basedOn w:val="VerbatimChar"/>
    <w:rPr>
      <w:color w:val="6f42c1"/>
    </w:rPr>
  </w:style>
  <w:style w:type="character" w:customStyle="1" w:styleId="VariableTok">
    <w:name w:val="VariableTok"/>
    <w:basedOn w:val="VerbatimChar"/>
    <w:rPr>
      <w:color w:val="e36209"/>
    </w:rPr>
  </w:style>
  <w:style w:type="character" w:customStyle="1" w:styleId="ControlFlowTok">
    <w:name w:val="ControlFlowTok"/>
    <w:basedOn w:val="VerbatimChar"/>
    <w:rPr>
      <w:color w:val="d73a49"/>
    </w:rPr>
  </w:style>
  <w:style w:type="character" w:customStyle="1" w:styleId="OperatorTok">
    <w:name w:val="OperatorTok"/>
    <w:basedOn w:val="VerbatimChar"/>
    <w:rPr>
      <w:color w:val="24292e"/>
    </w:rPr>
  </w:style>
  <w:style w:type="character" w:customStyle="1" w:styleId="BuiltInTok">
    <w:name w:val="BuiltInTok"/>
    <w:basedOn w:val="VerbatimChar"/>
    <w:rPr>
      <w:color w:val="d73a49"/>
    </w:rPr>
  </w:style>
  <w:style w:type="character" w:customStyle="1" w:styleId="ExtensionTok">
    <w:name w:val="ExtensionTok"/>
    <w:basedOn w:val="VerbatimChar"/>
    <w:rPr>
      <w:b/>
      <w:color w:val="d73a49"/>
    </w:rPr>
  </w:style>
  <w:style w:type="character" w:customStyle="1" w:styleId="PreprocessorTok">
    <w:name w:val="PreprocessorTok"/>
    <w:basedOn w:val="VerbatimChar"/>
    <w:rPr>
      <w:color w:val="d73a49"/>
    </w:rPr>
  </w:style>
  <w:style w:type="character" w:customStyle="1" w:styleId="AttributeTok">
    <w:name w:val="AttributeTok"/>
    <w:basedOn w:val="VerbatimChar"/>
    <w:rPr>
      <w:color w:val="d73a49"/>
    </w:rPr>
  </w:style>
  <w:style w:type="character" w:customStyle="1" w:styleId="RegionMarkerTok">
    <w:name w:val="RegionMarkerTok"/>
    <w:basedOn w:val="VerbatimChar"/>
    <w:rPr>
      <w:color w:val="6a737d"/>
    </w:rPr>
  </w:style>
  <w:style w:type="character" w:customStyle="1" w:styleId="InformationTok">
    <w:name w:val="InformationTok"/>
    <w:basedOn w:val="VerbatimChar"/>
    <w:rPr>
      <w:color w:val="6a737d"/>
    </w:rPr>
  </w:style>
  <w:style w:type="character" w:customStyle="1" w:styleId="WarningTok">
    <w:name w:val="WarningTok"/>
    <w:basedOn w:val="VerbatimChar"/>
    <w:rPr>
      <w:color w:val="ff5555"/>
    </w:rPr>
  </w:style>
  <w:style w:type="character" w:customStyle="1" w:styleId="AlertTok">
    <w:name w:val="AlertTok"/>
    <w:basedOn w:val="VerbatimChar"/>
    <w:rPr>
      <w:b/>
      <w:color w:val="ff5555"/>
    </w:rPr>
  </w:style>
  <w:style w:type="character" w:customStyle="1" w:styleId="ErrorTok">
    <w:name w:val="ErrorTok"/>
    <w:basedOn w:val="VerbatimChar"/>
    <w:rPr>
      <w:color w:val="ff5555"/>
      <w:u/>
    </w:rPr>
  </w:style>
  <w:style w:type="character" w:customStyle="1" w:styleId="NormalTok">
    <w:name w:val="NormalTok"/>
    <w:basedOn w:val="VerbatimChar"/>
    <w:rPr>
      <w:color w:val="24292e"/>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35" Target="media/rId35.png" /><Relationship Type="http://schemas.openxmlformats.org/officeDocument/2006/relationships/hyperlink" Id="rId51" Target="http://dx.doi.org/10.1016/j.eururo.2023.03.029" TargetMode="External" /><Relationship Type="http://schemas.openxmlformats.org/officeDocument/2006/relationships/hyperlink" Id="rId48" Target="http://dx.doi.org/10.3322/caac.21834" TargetMode="External" /><Relationship Type="http://schemas.openxmlformats.org/officeDocument/2006/relationships/hyperlink" Id="rId55" Target="http://dx.doi.org/10.3389/fimmu.2023.1167975" TargetMode="External" /><Relationship Type="http://schemas.openxmlformats.org/officeDocument/2006/relationships/hyperlink" Id="rId53" Target="http://dx.doi.org/10.6004/jnccn.2024.0024" TargetMode="External" /><Relationship Type="http://schemas.openxmlformats.org/officeDocument/2006/relationships/hyperlink" Id="rId45" Target="https://www.zotero.org/styles" TargetMode="External" /></Relationships>
</file>

<file path=word/_rels/footnotes.xml.rels><?xml version="1.0" encoding="UTF-8"?><Relationships xmlns="http://schemas.openxmlformats.org/package/2006/relationships"><Relationship Type="http://schemas.openxmlformats.org/officeDocument/2006/relationships/hyperlink" Id="rId51" Target="http://dx.doi.org/10.1016/j.eururo.2023.03.029" TargetMode="External" /><Relationship Type="http://schemas.openxmlformats.org/officeDocument/2006/relationships/hyperlink" Id="rId48" Target="http://dx.doi.org/10.3322/caac.21834" TargetMode="External" /><Relationship Type="http://schemas.openxmlformats.org/officeDocument/2006/relationships/hyperlink" Id="rId55" Target="http://dx.doi.org/10.3389/fimmu.2023.1167975" TargetMode="External" /><Relationship Type="http://schemas.openxmlformats.org/officeDocument/2006/relationships/hyperlink" Id="rId53" Target="http://dx.doi.org/10.6004/jnccn.2024.0024" TargetMode="External" /><Relationship Type="http://schemas.openxmlformats.org/officeDocument/2006/relationships/hyperlink" Id="rId45" Target="https://www.zotero.org/style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Immune-Related Adverse Events (irAEs) associated with Immune Checkpoint Inhibitor (ICI) Therapy in Bladder Cancer: An Analysis of the FDA Adverse Event Reporting System (FAERS)</dc:title>
  <dc:creator>Pooja Gokhale, PharmD</dc:creator>
  <cp:keywords/>
  <dcterms:created xsi:type="dcterms:W3CDTF">2025-02-21T21:34:46Z</dcterms:created>
  <dcterms:modified xsi:type="dcterms:W3CDTF">2025-02-21T21:34:46Z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../../assets/dataanalysis-references.bib</vt:lpwstr>
  </property>
  <property fmtid="{D5CDD505-2E9C-101B-9397-08002B2CF9AE}" pid="5" name="by-author">
    <vt:lpwstr/>
  </property>
  <property fmtid="{D5CDD505-2E9C-101B-9397-08002B2CF9AE}" pid="6" name="csl">
    <vt:lpwstr>../../assets/nlm-style.csl</vt:lpwstr>
  </property>
  <property fmtid="{D5CDD505-2E9C-101B-9397-08002B2CF9AE}" pid="7" name="header-includes">
    <vt:lpwstr/>
  </property>
  <property fmtid="{D5CDD505-2E9C-101B-9397-08002B2CF9AE}" pid="8" name="include-after">
    <vt:lpwstr/>
  </property>
  <property fmtid="{D5CDD505-2E9C-101B-9397-08002B2CF9AE}" pid="9" name="include-before">
    <vt:lpwstr/>
  </property>
  <property fmtid="{D5CDD505-2E9C-101B-9397-08002B2CF9AE}" pid="10" name="labels">
    <vt:lpwstr/>
  </property>
  <property fmtid="{D5CDD505-2E9C-101B-9397-08002B2CF9AE}" pid="11" name="toc-title">
    <vt:lpwstr>Table of contents</vt:lpwstr>
  </property>
</Properties>
</file>