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 to Example Manuscript Template for a Data Analysis Project</w:t>
      </w:r>
    </w:p>
    <w:bookmarkStart w:id="20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This supplement has a few exploratory figures and discussion of additional methods that can be used for disproportionality analysis.</w:t>
      </w:r>
    </w:p>
    <w:bookmarkEnd w:id="20"/>
    <w:bookmarkStart w:id="21" w:name="code-and-file-information"/>
    <w:p>
      <w:pPr>
        <w:pStyle w:val="Heading1"/>
      </w:pPr>
      <w:r>
        <w:t xml:space="preserve">2. Code and file information</w:t>
      </w:r>
    </w:p>
    <w:p>
      <w:pPr>
        <w:pStyle w:val="FirstParagraph"/>
      </w:pPr>
      <w:r>
        <w:t xml:space="preserve">To reproduce this study:</w:t>
      </w:r>
      <w:r>
        <w:t xml:space="preserve"> </w:t>
      </w:r>
      <w:r>
        <w:t xml:space="preserve">First run the processing code file. This processed the raw data in the</w:t>
      </w:r>
      <w:r>
        <w:t xml:space="preserve"> </w:t>
      </w:r>
      <w:r>
        <w:t xml:space="preserve">‘data’</w:t>
      </w:r>
      <w:r>
        <w:t xml:space="preserve"> </w:t>
      </w:r>
      <w:r>
        <w:t xml:space="preserve">subfolder and saves it as an rds file.</w:t>
      </w:r>
      <w:r>
        <w:t xml:space="preserve"> </w:t>
      </w:r>
      <w:r>
        <w:t xml:space="preserve">Then, run the exploratory data (eda) code file. This file produces summary tables and figures.</w:t>
      </w:r>
      <w:r>
        <w:t xml:space="preserve"> </w:t>
      </w:r>
      <w:r>
        <w:t xml:space="preserve">The figures are available in this supplement.</w:t>
      </w:r>
      <w:r>
        <w:t xml:space="preserve"> </w:t>
      </w:r>
      <w:r>
        <w:t xml:space="preserve">Then, run the analysis file. This conducts a disproportionality analysis and runs a random forest model to assess serious vs non-serious cases based on age, sex, and ICI.</w:t>
      </w:r>
    </w:p>
    <w:p>
      <w:r>
        <w:br w:type="page"/>
      </w:r>
    </w:p>
    <w:bookmarkEnd w:id="21"/>
    <w:bookmarkStart w:id="22" w:name="additional-method-details"/>
    <w:p>
      <w:pPr>
        <w:pStyle w:val="Heading1"/>
      </w:pPr>
      <w:r>
        <w:t xml:space="preserve">3. Additional Method Details</w:t>
      </w:r>
    </w:p>
    <w:p>
      <w:pPr>
        <w:pStyle w:val="FirstParagraph"/>
      </w:pPr>
      <w:r>
        <w:t xml:space="preserve">This part will be updated in part 5 - after improving the random forest code.</w:t>
      </w:r>
    </w:p>
    <w:p>
      <w:r>
        <w:br w:type="page"/>
      </w:r>
    </w:p>
    <w:bookmarkEnd w:id="22"/>
    <w:bookmarkStart w:id="31" w:name="additional-results"/>
    <w:p>
      <w:pPr>
        <w:pStyle w:val="Heading1"/>
      </w:pPr>
      <w:r>
        <w:t xml:space="preserve">4. Additional results</w:t>
      </w:r>
    </w:p>
    <w:p>
      <w:pPr>
        <w:pStyle w:val="FirstParagraph"/>
      </w:pPr>
      <w:hyperlink w:anchor="fig-resul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number of reactions by drug, along with the seriousness of the reaction.</w:t>
      </w:r>
    </w:p>
    <w:p>
      <w:pPr>
        <w:pStyle w:val="SourceCode"/>
      </w:pPr>
      <w:r>
        <w:rPr>
          <w:rStyle w:val="VerbatimChar"/>
        </w:rPr>
        <w:t xml:space="preserve">here() starts at C:/Pooja/Pooja/Spring 2025/EPID-BIOS-8060E-MADA/Gokhale-MADA-Project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result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figure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Bar chart of outcome of immune checkpoint inhibitors</w:t>
            </w:r>
          </w:p>
          <w:bookmarkEnd w:id="26"/>
        </w:tc>
      </w:tr>
    </w:tbl>
    <w:p>
      <w:pPr>
        <w:pStyle w:val="BodyText"/>
      </w:pPr>
      <w:hyperlink w:anchor="fig-resul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the bar chart by type of organ system involved in the reaction.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result1"/>
          <w:p>
            <w:pPr>
              <w:pStyle w:val="Compact"/>
              <w:jc w:val="center"/>
            </w:pPr>
            <w:r>
              <w:drawing>
                <wp:inline>
                  <wp:extent cx="5334000" cy="380746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../../../results/figures/figure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Bar chart of types of reactions</w:t>
            </w:r>
          </w:p>
          <w:bookmarkEnd w:id="30"/>
        </w:tc>
      </w:tr>
    </w:tbl>
    <w:bookmarkEnd w:id="31"/>
    <w:bookmarkStart w:id="32" w:name="discussion"/>
    <w:p>
      <w:pPr>
        <w:pStyle w:val="Heading1"/>
      </w:pPr>
      <w:r>
        <w:t xml:space="preserve">5. Discussion</w:t>
      </w:r>
    </w:p>
    <w:p>
      <w:pPr>
        <w:pStyle w:val="FirstParagraph"/>
      </w:pPr>
      <w:r>
        <w:t xml:space="preserve">Additional discussion will be done in part 5 after improving the random effects model.</w:t>
      </w:r>
      <w:r>
        <w:rPr>
          <w:vertAlign w:val="superscript"/>
        </w:rPr>
        <w:t xml:space="preserve">1</w:t>
      </w:r>
      <w:r>
        <w:t xml:space="preserve"> </w:t>
      </w:r>
      <w:r>
        <w:t xml:space="preserve">is a placeholder reference.</w:t>
      </w:r>
    </w:p>
    <w:p>
      <w:r>
        <w:br w:type="page"/>
      </w:r>
    </w:p>
    <w:bookmarkEnd w:id="32"/>
    <w:bookmarkStart w:id="35" w:name="references"/>
    <w:p>
      <w:pPr>
        <w:pStyle w:val="Heading1"/>
      </w:pPr>
      <w:r>
        <w:t xml:space="preserve">6. References</w:t>
      </w:r>
    </w:p>
    <w:bookmarkStart w:id="34" w:name="refs"/>
    <w:bookmarkStart w:id="33" w:name="ref-Leslie2025-lp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Leslie SW, Soon-Sutton TL, Aeddula NR. Bladder cancer.</w:t>
      </w:r>
      <w:r>
        <w:t xml:space="preserve"> </w:t>
      </w:r>
      <w:r>
        <w:t xml:space="preserve">StatPearls</w:t>
      </w:r>
      <w:r>
        <w:t xml:space="preserve">. Treasure Island (FL): StatPearls Publishing; 2025.</w:t>
      </w:r>
      <w:r>
        <w:t xml:space="preserve"> 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to Example Manuscript Template for a Data Analysis Project</dc:title>
  <dc:creator/>
  <cp:keywords/>
  <dcterms:created xsi:type="dcterms:W3CDTF">2025-04-04T19:31:16Z</dcterms:created>
  <dcterms:modified xsi:type="dcterms:W3CDTF">2025-04-04T19:31:16Z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../../../assets/dataanalysis-references.bib</vt:lpwstr>
  </property>
  <property fmtid="{D5CDD505-2E9C-101B-9397-08002B2CF9AE}" pid="4" name="csl">
    <vt:lpwstr>../../../assets/nlm-style.csl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