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Example Manuscript Template for a Data Analysis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This supplement has a few exploratory figures and discussion of additional methods that can be used for disproportionality analysis.</w:t>
      </w:r>
    </w:p>
    <w:bookmarkEnd w:id="20"/>
    <w:bookmarkStart w:id="21" w:name="code-and-file-information"/>
    <w:p>
      <w:pPr>
        <w:pStyle w:val="Heading1"/>
      </w:pPr>
      <w:r>
        <w:t xml:space="preserve">2. Code and file information</w:t>
      </w:r>
    </w:p>
    <w:p>
      <w:pPr>
        <w:pStyle w:val="FirstParagraph"/>
      </w:pPr>
      <w:r>
        <w:t xml:space="preserve">To reproduce this study:</w:t>
      </w:r>
      <w:r>
        <w:t xml:space="preserve"> </w:t>
      </w:r>
      <w:r>
        <w:t xml:space="preserve">First run the processing code file. This processed the raw data in the</w:t>
      </w:r>
      <w:r>
        <w:t xml:space="preserve"> </w:t>
      </w:r>
      <w:r>
        <w:t xml:space="preserve">‘data’</w:t>
      </w:r>
      <w:r>
        <w:t xml:space="preserve"> </w:t>
      </w:r>
      <w:r>
        <w:t xml:space="preserve">subfolder and saves it as an rds file.</w:t>
      </w:r>
      <w:r>
        <w:t xml:space="preserve"> </w:t>
      </w:r>
      <w:r>
        <w:t xml:space="preserve">Then, run the exploratory data (eda) code file. This file produces summary tables and figures.</w:t>
      </w:r>
      <w:r>
        <w:t xml:space="preserve"> </w:t>
      </w:r>
      <w:r>
        <w:t xml:space="preserve">The figures are available in this supplement.</w:t>
      </w:r>
      <w:r>
        <w:t xml:space="preserve"> </w:t>
      </w:r>
      <w:r>
        <w:t xml:space="preserve">Then, run the analysis file. This conducts a disproportionality analysis and runs a random forest model to assess serious vs non-serious cases based on age, sex, and ICI.</w:t>
      </w:r>
    </w:p>
    <w:p>
      <w:r>
        <w:br w:type="page"/>
      </w:r>
    </w:p>
    <w:bookmarkEnd w:id="21"/>
    <w:bookmarkStart w:id="22" w:name="list-of-iraes"/>
    <w:p>
      <w:pPr>
        <w:pStyle w:val="Heading1"/>
      </w:pPr>
      <w:r>
        <w:t xml:space="preserve">3. List of irAEs:</w:t>
      </w:r>
    </w:p>
    <w:p>
      <w:pPr>
        <w:pStyle w:val="FirstParagraph"/>
      </w:pPr>
      <w:r>
        <w:t xml:space="preserve">Skin and subcutaneous tissue disorders:</w:t>
      </w:r>
      <w:r>
        <w:t xml:space="preserve"> </w:t>
      </w:r>
      <w:r>
        <w:t xml:space="preserve">Rash, pruritus, dermatitis, psoriasis</w:t>
      </w:r>
      <w:r>
        <w:t xml:space="preserve"> </w:t>
      </w:r>
      <w:r>
        <w:t xml:space="preserve">Gastrointestinal disorders:</w:t>
      </w:r>
      <w:r>
        <w:t xml:space="preserve"> </w:t>
      </w:r>
      <w:r>
        <w:t xml:space="preserve">Colitis, hepatitis, pancreatitis, enterocolitis, ileitis, ileocolitis</w:t>
      </w:r>
      <w:r>
        <w:t xml:space="preserve"> </w:t>
      </w:r>
      <w:r>
        <w:t xml:space="preserve">Nervous system disorders:</w:t>
      </w:r>
      <w:r>
        <w:t xml:space="preserve"> </w:t>
      </w:r>
      <w:r>
        <w:t xml:space="preserve">Myasthenia gravis, Graves disease, myelitis, encephalitis, neuritis, peripheral neuropathy</w:t>
      </w:r>
      <w:r>
        <w:t xml:space="preserve"> </w:t>
      </w:r>
      <w:r>
        <w:t xml:space="preserve">Endocrine disorders:</w:t>
      </w:r>
      <w:r>
        <w:t xml:space="preserve"> </w:t>
      </w:r>
      <w:r>
        <w:t xml:space="preserve">Hyperthyroidism, hypothyroidism, thyroiditis, thyrotoxicosis, adrenitis, adrenal insufficiency, hypogonadism, hyperparathyroidism, hypercortisolism, hypophysitis, hypoparathyroidism, hypocortisolism, autoimmune diabetes</w:t>
      </w:r>
      <w:r>
        <w:t xml:space="preserve"> </w:t>
      </w:r>
      <w:r>
        <w:t xml:space="preserve">Cardiac disorders: myocarditis, pericarditis, myocarditis</w:t>
      </w:r>
      <w:r>
        <w:t xml:space="preserve"> </w:t>
      </w:r>
      <w:r>
        <w:t xml:space="preserve">Respiratory, thoracic, and mediastinal_disorders:</w:t>
      </w:r>
      <w:r>
        <w:t xml:space="preserve"> </w:t>
      </w:r>
      <w:r>
        <w:t xml:space="preserve">Pneumonitis</w:t>
      </w:r>
      <w:r>
        <w:t xml:space="preserve"> </w:t>
      </w:r>
      <w:r>
        <w:t xml:space="preserve">Renal and urinary_disorders:</w:t>
      </w:r>
      <w:r>
        <w:t xml:space="preserve"> </w:t>
      </w:r>
      <w:r>
        <w:t xml:space="preserve">Pyelonephritis, nephritis</w:t>
      </w:r>
    </w:p>
    <w:bookmarkEnd w:id="22"/>
    <w:bookmarkStart w:id="23" w:name="additional-method-details"/>
    <w:p>
      <w:pPr>
        <w:pStyle w:val="Heading1"/>
      </w:pPr>
      <w:r>
        <w:t xml:space="preserve">4. Additional Method Details</w:t>
      </w:r>
    </w:p>
    <w:p>
      <w:pPr>
        <w:pStyle w:val="FirstParagraph"/>
      </w:pPr>
      <w:r>
        <w:t xml:space="preserve">Three machine learning models were fit - logistic regression, decision tree, and random forest.</w:t>
      </w:r>
      <w:r>
        <w:t xml:space="preserve"> </w:t>
      </w:r>
      <w:r>
        <w:t xml:space="preserve">We found that the models were not able to distinguish adequately between the serious and non-serious reactions.</w:t>
      </w:r>
      <w:r>
        <w:t xml:space="preserve"> </w:t>
      </w:r>
      <w:r>
        <w:t xml:space="preserve">This most probably occurs due to the class imbalance - 305 serious, 60 non-serious cases.</w:t>
      </w:r>
    </w:p>
    <w:p>
      <w:r>
        <w:br w:type="page"/>
      </w:r>
    </w:p>
    <w:bookmarkEnd w:id="23"/>
    <w:bookmarkStart w:id="44" w:name="additional-results"/>
    <w:p>
      <w:pPr>
        <w:pStyle w:val="Heading1"/>
      </w:pPr>
      <w:r>
        <w:t xml:space="preserve">5. Additional results</w:t>
      </w:r>
    </w:p>
    <w:p>
      <w:pPr>
        <w:pStyle w:val="FirstParagraph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number of reactions by drug, along with the seriousness of the reaction.</w:t>
      </w:r>
    </w:p>
    <w:p>
      <w:pPr>
        <w:pStyle w:val="SourceCode"/>
      </w:pPr>
      <w:r>
        <w:rPr>
          <w:rStyle w:val="VerbatimChar"/>
        </w:rPr>
        <w:t xml:space="preserve">here() starts at C:/Pooja/Pooja/Spring 2025/EPID-BIOS-8060E-MADA/Gokhale-MADA-Project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result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Bar chart of outcome of immune checkpoint inhibitors</w:t>
            </w:r>
          </w:p>
          <w:bookmarkEnd w:id="27"/>
        </w:tc>
      </w:tr>
    </w:tbl>
    <w:p>
      <w:pPr>
        <w:pStyle w:val="BodyText"/>
      </w:pPr>
      <w:r>
        <w:t xml:space="preserve">We can see that a large proportion of the reactions are serious.</w:t>
      </w:r>
    </w:p>
    <w:p>
      <w:pPr>
        <w:pStyle w:val="BodyText"/>
      </w:pPr>
      <w:hyperlink w:anchor="fig-resul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result1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2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Bar chart of types of reactions</w:t>
            </w:r>
          </w:p>
          <w:bookmarkEnd w:id="31"/>
        </w:tc>
      </w:tr>
    </w:tbl>
    <w:p>
      <w:pPr>
        <w:pStyle w:val="BodyText"/>
      </w:pPr>
      <w:r>
        <w:t xml:space="preserve">The most common reactions are dermatological, followed by gastrointestinal.</w:t>
      </w:r>
    </w:p>
    <w:p>
      <w:pPr>
        <w:pStyle w:val="BodyText"/>
      </w:pPr>
      <w:hyperlink w:anchor="fig-result2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ROC curve for the logistic regression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result2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logit_roc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ROC Curve - Logistic Regression</w:t>
            </w:r>
          </w:p>
          <w:bookmarkEnd w:id="35"/>
        </w:tc>
      </w:tr>
    </w:tbl>
    <w:p>
      <w:pPr>
        <w:pStyle w:val="BodyText"/>
      </w:pPr>
      <w:r>
        <w:t xml:space="preserve">We see that the curve covers about 60% of the area.</w:t>
      </w:r>
    </w:p>
    <w:p>
      <w:pPr>
        <w:pStyle w:val="BodyText"/>
      </w:pPr>
      <w:hyperlink w:anchor="fig-result3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ROC curve for the decision tree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result3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dt_roc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ROC Curve - Decision Tree</w:t>
            </w:r>
          </w:p>
          <w:bookmarkEnd w:id="39"/>
        </w:tc>
      </w:tr>
    </w:tbl>
    <w:p>
      <w:pPr>
        <w:pStyle w:val="BodyText"/>
      </w:pPr>
      <w:r>
        <w:t xml:space="preserve">The curve is a staright diagonal line (covering about 50% of the area). Thus, this model is not able to distinguish between serious and non-serious cases better than at random.</w:t>
      </w:r>
    </w:p>
    <w:p>
      <w:pPr>
        <w:pStyle w:val="BodyText"/>
      </w:pPr>
      <w:hyperlink w:anchor="fig-result4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shows the ROC curve for the random forest model.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result4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rf_roc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ROC Curve - Random forest</w:t>
            </w:r>
          </w:p>
          <w:bookmarkEnd w:id="43"/>
        </w:tc>
      </w:tr>
    </w:tbl>
    <w:p>
      <w:pPr>
        <w:pStyle w:val="BodyText"/>
      </w:pPr>
      <w:r>
        <w:t xml:space="preserve">We see that the curve covers about 80% of the area.</w:t>
      </w:r>
    </w:p>
    <w:bookmarkEnd w:id="44"/>
    <w:bookmarkStart w:id="45" w:name="discussion"/>
    <w:p>
      <w:pPr>
        <w:pStyle w:val="Heading1"/>
      </w:pPr>
      <w:r>
        <w:t xml:space="preserve">6. Discussion</w:t>
      </w:r>
    </w:p>
    <w:p>
      <w:pPr>
        <w:pStyle w:val="FirstParagraph"/>
      </w:pPr>
      <w:r>
        <w:t xml:space="preserve">Overall, the random forest model performs better.</w:t>
      </w:r>
      <w:r>
        <w:t xml:space="preserve"> </w:t>
      </w:r>
      <w:r>
        <w:t xml:space="preserve">However, all three models are not able to distinguish between serious and non-serious reactions, possibly due to the class imbalance.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Example Manuscript Template for a Data Analysis Project</dc:title>
  <dc:creator/>
  <cp:keywords/>
  <dcterms:created xsi:type="dcterms:W3CDTF">2025-04-23T20:19:56Z</dcterms:created>
  <dcterms:modified xsi:type="dcterms:W3CDTF">2025-04-23T20:19:56Z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../../../assets/dataanalysis-references.bib</vt:lpwstr>
  </property>
  <property fmtid="{D5CDD505-2E9C-101B-9397-08002B2CF9AE}" pid="4" name="csl">
    <vt:lpwstr>../../../assets/nlm-style.csl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