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2433" w:rsidRDefault="00000000">
      <w:r>
        <w:t>Name - Dange Pooja Sanjay</w:t>
      </w:r>
    </w:p>
    <w:p w14:paraId="00000002" w14:textId="77777777" w:rsidR="00612433" w:rsidRDefault="00000000">
      <w:r>
        <w:t>ID - B24DS006</w:t>
      </w:r>
    </w:p>
    <w:p w14:paraId="00000003" w14:textId="77777777" w:rsidR="00612433" w:rsidRDefault="00000000">
      <w:pPr>
        <w:pStyle w:val="Heading1"/>
        <w:keepNext w:val="0"/>
        <w:keepLines w:val="0"/>
        <w:shd w:val="clear" w:color="auto" w:fill="1E1E1E"/>
        <w:spacing w:before="480" w:line="325" w:lineRule="auto"/>
        <w:rPr>
          <w:rFonts w:ascii="Courier New" w:eastAsia="Courier New" w:hAnsi="Courier New" w:cs="Courier New"/>
          <w:b/>
          <w:bCs/>
          <w:color w:val="CE9178"/>
          <w:sz w:val="21"/>
          <w:szCs w:val="21"/>
        </w:rPr>
      </w:pPr>
      <w:bookmarkStart w:id="0" w:name="_3nyrmh67ww9z" w:colFirst="0" w:colLast="0"/>
      <w:bookmarkEnd w:id="0"/>
      <w:r>
        <w:rPr>
          <w:rFonts w:ascii="Courier New" w:eastAsia="Courier New" w:hAnsi="Courier New" w:cs="Courier New"/>
          <w:b/>
          <w:bCs/>
          <w:color w:val="CE9178"/>
          <w:sz w:val="21"/>
          <w:szCs w:val="21"/>
        </w:rPr>
        <w:t>India’s Electricity Transition</w:t>
      </w:r>
    </w:p>
    <w:p w14:paraId="00000004" w14:textId="77777777" w:rsidR="00612433" w:rsidRDefault="00612433">
      <w:pPr>
        <w:pStyle w:val="Heading1"/>
        <w:keepNext w:val="0"/>
        <w:keepLines w:val="0"/>
        <w:spacing w:before="480"/>
        <w:rPr>
          <w:b/>
          <w:bCs/>
          <w:sz w:val="46"/>
          <w:szCs w:val="46"/>
        </w:rPr>
      </w:pPr>
      <w:bookmarkStart w:id="1" w:name="_fnfotpq1yrtc" w:colFirst="0" w:colLast="0"/>
      <w:bookmarkEnd w:id="1"/>
    </w:p>
    <w:p w14:paraId="00000005" w14:textId="77777777" w:rsidR="00612433" w:rsidRDefault="00000000">
      <w:pPr>
        <w:pStyle w:val="Heading3"/>
        <w:keepNext w:val="0"/>
        <w:keepLines w:val="0"/>
        <w:spacing w:before="280"/>
        <w:rPr>
          <w:b/>
          <w:bCs/>
          <w:color w:val="000000"/>
          <w:sz w:val="26"/>
          <w:szCs w:val="26"/>
        </w:rPr>
      </w:pPr>
      <w:bookmarkStart w:id="2" w:name="_4zdx313lk0j8" w:colFirst="0" w:colLast="0"/>
      <w:bookmarkEnd w:id="2"/>
      <w:r>
        <w:rPr>
          <w:b/>
          <w:bCs/>
          <w:color w:val="000000"/>
          <w:sz w:val="26"/>
          <w:szCs w:val="26"/>
        </w:rPr>
        <w:t>Data Analytics and Visualization | Major Project</w:t>
      </w:r>
    </w:p>
    <w:p w14:paraId="00000006" w14:textId="77777777" w:rsidR="00612433" w:rsidRDefault="00000000">
      <w:r>
        <w:pict w14:anchorId="685F2E0F">
          <v:rect id="_x0000_i1025" style="width:0;height:1.5pt" o:hralign="center" o:hrstd="t" o:hr="t" fillcolor="#a0a0a0" stroked="f"/>
        </w:pict>
      </w:r>
    </w:p>
    <w:p w14:paraId="00000007" w14:textId="77777777" w:rsidR="00612433" w:rsidRDefault="00000000">
      <w:pPr>
        <w:pStyle w:val="Heading2"/>
        <w:keepNext w:val="0"/>
        <w:keepLines w:val="0"/>
        <w:spacing w:after="80"/>
        <w:rPr>
          <w:b/>
          <w:bCs/>
          <w:sz w:val="34"/>
          <w:szCs w:val="34"/>
        </w:rPr>
      </w:pPr>
      <w:bookmarkStart w:id="3" w:name="_3woa1btqhn27" w:colFirst="0" w:colLast="0"/>
      <w:bookmarkEnd w:id="3"/>
      <w:r>
        <w:rPr>
          <w:b/>
          <w:bCs/>
          <w:sz w:val="34"/>
          <w:szCs w:val="34"/>
        </w:rPr>
        <w:t>Abstract</w:t>
      </w:r>
    </w:p>
    <w:p w14:paraId="00000008" w14:textId="77777777" w:rsidR="00612433" w:rsidRDefault="00000000">
      <w:pPr>
        <w:spacing w:before="240" w:after="240"/>
      </w:pPr>
      <w:r>
        <w:t xml:space="preserve">This project is an interactive multi-page data analytics dashboard built using Python and </w:t>
      </w:r>
      <w:proofErr w:type="spellStart"/>
      <w:r>
        <w:t>Streamlit</w:t>
      </w:r>
      <w:proofErr w:type="spellEnd"/>
      <w:r>
        <w:t>. It analyzes India's electricity sector transformation from 2014 to 2026, covering renewable energy capacity growth, actual electricity generation patterns, and predictive modeling of future energy demand and renewable share. Data was collected manually from the Central Electricity Authority (CEA) and the Ministry of New and Renewable Energy (MNRE). The dashboard has three interconnected pages — Capacity Growth Analysis, Generation Analysis, and a Predictive Modeling module. Key findings show that India's total renewable capacity grew from ~35.8 GW in 2014 to over 223 GW by 2026, driven overwhelmingly by solar energy. A linear regression model was applied to project future electricity demand and Capacity Utilization Factors per source, enabling scenario-based forecasting up to 2035.</w:t>
      </w:r>
    </w:p>
    <w:p w14:paraId="00000009" w14:textId="77777777" w:rsidR="00612433" w:rsidRDefault="00000000">
      <w:r>
        <w:pict w14:anchorId="240D9F10">
          <v:rect id="_x0000_i1026" style="width:0;height:1.5pt" o:hralign="center" o:hrstd="t" o:hr="t" fillcolor="#a0a0a0" stroked="f"/>
        </w:pict>
      </w:r>
    </w:p>
    <w:p w14:paraId="0000000A" w14:textId="77777777" w:rsidR="00612433" w:rsidRDefault="00000000">
      <w:pPr>
        <w:pStyle w:val="Heading2"/>
        <w:keepNext w:val="0"/>
        <w:keepLines w:val="0"/>
        <w:spacing w:after="80"/>
        <w:rPr>
          <w:b/>
          <w:bCs/>
          <w:sz w:val="34"/>
          <w:szCs w:val="34"/>
        </w:rPr>
      </w:pPr>
      <w:bookmarkStart w:id="4" w:name="_cyy5bb8iobvf" w:colFirst="0" w:colLast="0"/>
      <w:bookmarkEnd w:id="4"/>
      <w:r>
        <w:rPr>
          <w:b/>
          <w:bCs/>
          <w:sz w:val="34"/>
          <w:szCs w:val="34"/>
        </w:rPr>
        <w:t>1. Introduction</w:t>
      </w:r>
    </w:p>
    <w:p w14:paraId="0000000B" w14:textId="77777777" w:rsidR="00612433" w:rsidRDefault="00000000">
      <w:pPr>
        <w:spacing w:before="240" w:after="240"/>
      </w:pPr>
      <w:r>
        <w:t>India is undergoing one of the most ambitious energy transitions in the world. Growing energy demand, driven by rapid urbanization and industrialization, has pushed the country to simultaneously pursue aggressive renewable energy expansion. Government schemes — the Solar Park Scheme, the Production Linked Incentive (PLI) scheme, 100% FDI in renewable energy, and transmission charge waivers — have catalyzed rapid growth in solar and wind capacity.</w:t>
      </w:r>
    </w:p>
    <w:p w14:paraId="0000000C" w14:textId="77777777" w:rsidR="00612433" w:rsidRDefault="00000000">
      <w:pPr>
        <w:spacing w:before="240" w:after="240"/>
      </w:pPr>
      <w:r>
        <w:rPr>
          <w:rFonts w:ascii="Courier New" w:eastAsia="Courier New" w:hAnsi="Courier New" w:cs="Courier New"/>
          <w:b/>
          <w:bCs/>
          <w:color w:val="CE9178"/>
          <w:sz w:val="21"/>
          <w:szCs w:val="21"/>
        </w:rPr>
        <w:t>India’s Electricity Transition</w:t>
      </w:r>
      <w:r>
        <w:t xml:space="preserve"> is a data-driven dashboard that tracks, visualizes, and models this transformation. The application is built using Python (</w:t>
      </w:r>
      <w:proofErr w:type="spellStart"/>
      <w:r>
        <w:t>Streamlit</w:t>
      </w:r>
      <w:proofErr w:type="spellEnd"/>
      <w:r>
        <w:t>) and consists of three analytical pages, each addressing a distinct aspect of the energy transition: infrastructure growth, actual generation performance, and forward-looking prediction.</w:t>
      </w:r>
    </w:p>
    <w:p w14:paraId="0000000D" w14:textId="77777777" w:rsidR="00612433" w:rsidRDefault="00000000">
      <w:r>
        <w:pict w14:anchorId="70ACF72A">
          <v:rect id="_x0000_i1027" style="width:0;height:1.5pt" o:hralign="center" o:hrstd="t" o:hr="t" fillcolor="#a0a0a0" stroked="f"/>
        </w:pict>
      </w:r>
    </w:p>
    <w:p w14:paraId="0000000E" w14:textId="77777777" w:rsidR="00612433" w:rsidRDefault="00000000">
      <w:pPr>
        <w:pStyle w:val="Heading2"/>
        <w:keepNext w:val="0"/>
        <w:keepLines w:val="0"/>
        <w:spacing w:after="80"/>
        <w:rPr>
          <w:b/>
          <w:bCs/>
          <w:sz w:val="34"/>
          <w:szCs w:val="34"/>
        </w:rPr>
      </w:pPr>
      <w:bookmarkStart w:id="5" w:name="_h7driqu93841" w:colFirst="0" w:colLast="0"/>
      <w:bookmarkEnd w:id="5"/>
      <w:r>
        <w:rPr>
          <w:b/>
          <w:bCs/>
          <w:sz w:val="34"/>
          <w:szCs w:val="34"/>
        </w:rPr>
        <w:lastRenderedPageBreak/>
        <w:t>2. Objective</w:t>
      </w:r>
    </w:p>
    <w:p w14:paraId="0000000F" w14:textId="77777777" w:rsidR="00612433" w:rsidRDefault="00000000">
      <w:pPr>
        <w:spacing w:before="240" w:after="240"/>
      </w:pPr>
      <w:r>
        <w:t>The primary objectives of this project are:</w:t>
      </w:r>
    </w:p>
    <w:p w14:paraId="00000010" w14:textId="77777777" w:rsidR="00612433" w:rsidRDefault="00000000">
      <w:pPr>
        <w:numPr>
          <w:ilvl w:val="0"/>
          <w:numId w:val="4"/>
        </w:numPr>
        <w:spacing w:before="240"/>
      </w:pPr>
      <w:r>
        <w:t>To track the growth of renewable energy installed capacity in India from 2014 to 2026, broken down by source (Solar, Wind, Small Hydro, Biomass, Waste-to-Energy) and by state.</w:t>
      </w:r>
    </w:p>
    <w:p w14:paraId="00000011" w14:textId="77777777" w:rsidR="00612433" w:rsidRDefault="00000000">
      <w:pPr>
        <w:numPr>
          <w:ilvl w:val="0"/>
          <w:numId w:val="4"/>
        </w:numPr>
      </w:pPr>
      <w:r>
        <w:t>To compare actual electricity generation against theoretical maximum output in order to quantify efficiency gaps.</w:t>
      </w:r>
    </w:p>
    <w:p w14:paraId="00000012" w14:textId="77777777" w:rsidR="00612433" w:rsidRDefault="00000000">
      <w:pPr>
        <w:numPr>
          <w:ilvl w:val="0"/>
          <w:numId w:val="4"/>
        </w:numPr>
      </w:pPr>
      <w:r>
        <w:t>To analyze year-on-year growth patterns of all energy sources — both renewable and non-renewable.</w:t>
      </w:r>
    </w:p>
    <w:p w14:paraId="00000013" w14:textId="77777777" w:rsidR="00612433" w:rsidRDefault="00000000">
      <w:pPr>
        <w:numPr>
          <w:ilvl w:val="0"/>
          <w:numId w:val="4"/>
        </w:numPr>
      </w:pPr>
      <w:r>
        <w:t>To build a predictive model that forecasts future electricity demand and renewable energy share, allowing interactive scenario exploration.</w:t>
      </w:r>
    </w:p>
    <w:p w14:paraId="00000014" w14:textId="77777777" w:rsidR="00612433" w:rsidRDefault="00000000">
      <w:pPr>
        <w:numPr>
          <w:ilvl w:val="0"/>
          <w:numId w:val="4"/>
        </w:numPr>
        <w:spacing w:after="240"/>
      </w:pPr>
      <w:r>
        <w:t>To present findings through an interactive, multi-page dashboard suitable for policy understanding and academic analysis.</w:t>
      </w:r>
    </w:p>
    <w:p w14:paraId="00000015" w14:textId="77777777" w:rsidR="00612433" w:rsidRDefault="00000000">
      <w:r>
        <w:pict w14:anchorId="15041C08">
          <v:rect id="_x0000_i1028" style="width:0;height:1.5pt" o:hralign="center" o:hrstd="t" o:hr="t" fillcolor="#a0a0a0" stroked="f"/>
        </w:pict>
      </w:r>
    </w:p>
    <w:p w14:paraId="00000016" w14:textId="77777777" w:rsidR="00612433" w:rsidRDefault="00000000">
      <w:pPr>
        <w:pStyle w:val="Heading2"/>
        <w:keepNext w:val="0"/>
        <w:keepLines w:val="0"/>
        <w:spacing w:after="80"/>
        <w:rPr>
          <w:b/>
          <w:bCs/>
          <w:sz w:val="34"/>
          <w:szCs w:val="34"/>
        </w:rPr>
      </w:pPr>
      <w:bookmarkStart w:id="6" w:name="_tzew0jkbaav6" w:colFirst="0" w:colLast="0"/>
      <w:bookmarkEnd w:id="6"/>
      <w:r>
        <w:rPr>
          <w:b/>
          <w:bCs/>
          <w:sz w:val="34"/>
          <w:szCs w:val="34"/>
        </w:rPr>
        <w:t>3. Data Collection</w:t>
      </w:r>
    </w:p>
    <w:p w14:paraId="00000017" w14:textId="77777777" w:rsidR="00612433" w:rsidRDefault="00000000">
      <w:pPr>
        <w:pStyle w:val="Heading3"/>
        <w:keepNext w:val="0"/>
        <w:keepLines w:val="0"/>
        <w:spacing w:before="280"/>
        <w:rPr>
          <w:b/>
          <w:bCs/>
          <w:color w:val="000000"/>
          <w:sz w:val="26"/>
          <w:szCs w:val="26"/>
        </w:rPr>
      </w:pPr>
      <w:bookmarkStart w:id="7" w:name="_342wvpwank5u" w:colFirst="0" w:colLast="0"/>
      <w:bookmarkEnd w:id="7"/>
      <w:r>
        <w:rPr>
          <w:b/>
          <w:bCs/>
          <w:color w:val="000000"/>
          <w:sz w:val="26"/>
          <w:szCs w:val="26"/>
        </w:rPr>
        <w:t>3.1 Sources</w:t>
      </w:r>
    </w:p>
    <w:p w14:paraId="00000018" w14:textId="77777777" w:rsidR="00612433" w:rsidRDefault="00000000">
      <w:pPr>
        <w:spacing w:before="240" w:after="240"/>
      </w:pPr>
      <w:r>
        <w:t>All data was collected manually from official government publications.</w:t>
      </w:r>
    </w:p>
    <w:p w14:paraId="00000019" w14:textId="30F12D36" w:rsidR="00612433" w:rsidRDefault="00000000">
      <w:pPr>
        <w:spacing w:before="240" w:after="240"/>
      </w:pPr>
      <w:r>
        <w:rPr>
          <w:b/>
          <w:bCs/>
        </w:rPr>
        <w:t>Source 1 — MNRE Annual Report (2024-25)</w:t>
      </w:r>
      <w:r>
        <w:t xml:space="preserve"> Sector-wise renewable energy installed capacity data, covering annual additions from 2014-15 to 2025-26 and cumulative totals, in megawatts (MW). Sectors include Wind Power, Solar Power, Small Hydro Power, Biomass (Bagasse) Cogeneration, Biomass (Non-Bagasse) Cogeneration, Waste to Energy (grid and off-grid</w:t>
      </w:r>
      <w:proofErr w:type="gramStart"/>
      <w:r>
        <w:t>).</w:t>
      </w:r>
      <w:r w:rsidR="00B6246E">
        <w:t>The</w:t>
      </w:r>
      <w:proofErr w:type="gramEnd"/>
      <w:r w:rsidR="00B6246E">
        <w:t xml:space="preserve"> data was web scraped from here and was later converted in </w:t>
      </w:r>
      <w:proofErr w:type="spellStart"/>
      <w:r w:rsidR="00B6246E">
        <w:t>dataframe</w:t>
      </w:r>
      <w:proofErr w:type="spellEnd"/>
      <w:r w:rsidR="00B6246E">
        <w:t xml:space="preserve"> format.</w:t>
      </w:r>
    </w:p>
    <w:p w14:paraId="0000001A" w14:textId="6C3765AF" w:rsidR="00612433" w:rsidRDefault="00000000">
      <w:pPr>
        <w:spacing w:before="240" w:after="240"/>
      </w:pPr>
      <w:r>
        <w:rPr>
          <w:b/>
          <w:bCs/>
        </w:rPr>
        <w:t>Source 2 — CEA / MNRE State-wise Capacity Report (2025)</w:t>
      </w:r>
      <w:r>
        <w:t xml:space="preserve"> State-wise breakdown of installed renewable capacity by source for all major Indian states, including Solar (Ground, Rooftop, Hybrid, Off-grid), Wind, Small Hydro, Biomass (Bagasse and Non-Bagasse), Waste, and Large Hydro.</w:t>
      </w:r>
      <w:r w:rsidR="001D0DC9" w:rsidRPr="001D0DC9">
        <w:t xml:space="preserve"> </w:t>
      </w:r>
      <w:r w:rsidR="001D0DC9" w:rsidRPr="001D0DC9">
        <w:t xml:space="preserve">Government PDF downloaded from CDNBBSR portal, parsed using </w:t>
      </w:r>
      <w:proofErr w:type="spellStart"/>
      <w:proofErr w:type="gramStart"/>
      <w:r w:rsidR="001D0DC9" w:rsidRPr="001D0DC9">
        <w:t>pdfplumber</w:t>
      </w:r>
      <w:proofErr w:type="spellEnd"/>
      <w:r w:rsidR="001D0DC9">
        <w:t xml:space="preserve"> .</w:t>
      </w:r>
      <w:proofErr w:type="gramEnd"/>
      <w:r>
        <w:t xml:space="preserve"> Data covers 30 states.</w:t>
      </w:r>
      <w:r w:rsidR="00FC36DE">
        <w:t xml:space="preserve"> Missing Values were filed with 0 as the state’s capacity for that particular source is negligible. </w:t>
      </w:r>
    </w:p>
    <w:p w14:paraId="0000001B" w14:textId="77777777" w:rsidR="00612433" w:rsidRDefault="00000000">
      <w:pPr>
        <w:spacing w:before="240" w:after="240"/>
      </w:pPr>
      <w:r>
        <w:rPr>
          <w:b/>
          <w:bCs/>
        </w:rPr>
        <w:t>Source 3 — NITI AAYOG Electricity dataset</w:t>
      </w:r>
      <w:r>
        <w:t xml:space="preserve"> Year-wise electricity generation in Billion Units (BU) for each source — Coal, Nuclear, Hydro, Wind, Solar, Bio Power, Small-Hydro, Oil &amp; Gas — from 2015-16 to 2025-26. This was collected as an Excel file (power.xlsx).</w:t>
      </w:r>
    </w:p>
    <w:p w14:paraId="0000001C" w14:textId="77777777" w:rsidR="00612433" w:rsidRDefault="00000000">
      <w:pPr>
        <w:spacing w:before="240" w:after="240"/>
      </w:pPr>
      <w:r>
        <w:rPr>
          <w:b/>
          <w:bCs/>
        </w:rPr>
        <w:t>Source 4 — CEA Generation Reports (Large Hydro Capacity)</w:t>
      </w:r>
      <w:r>
        <w:t xml:space="preserve"> Year-wise large hydro installed capacity in GW, used specifically in the prediction module's CUF computation.</w:t>
      </w:r>
    </w:p>
    <w:p w14:paraId="0000001D" w14:textId="77777777" w:rsidR="00612433" w:rsidRDefault="00000000">
      <w:pPr>
        <w:pStyle w:val="Heading3"/>
        <w:keepNext w:val="0"/>
        <w:keepLines w:val="0"/>
        <w:spacing w:before="280"/>
        <w:rPr>
          <w:b/>
          <w:bCs/>
          <w:color w:val="000000"/>
          <w:sz w:val="26"/>
          <w:szCs w:val="26"/>
        </w:rPr>
      </w:pPr>
      <w:bookmarkStart w:id="8" w:name="_ucepbl43p41m" w:colFirst="0" w:colLast="0"/>
      <w:bookmarkEnd w:id="8"/>
      <w:r>
        <w:rPr>
          <w:b/>
          <w:bCs/>
          <w:color w:val="000000"/>
          <w:sz w:val="26"/>
          <w:szCs w:val="26"/>
        </w:rPr>
        <w:lastRenderedPageBreak/>
        <w:t>3.2 Data Coverage</w:t>
      </w:r>
    </w:p>
    <w:p w14:paraId="0000001E" w14:textId="77777777" w:rsidR="00612433" w:rsidRDefault="00000000">
      <w:pPr>
        <w:spacing w:before="240" w:after="240"/>
      </w:pPr>
      <w:r>
        <w:t>The dataset spans 11 fiscal years (2015-16 to 2025-26) for generation data and 12 years (2014 to 2026) for capacity data. It covers all major renewable and non-renewable electricity sources and 30 Indian states.</w:t>
      </w:r>
    </w:p>
    <w:p w14:paraId="0000001F" w14:textId="77777777" w:rsidR="00612433" w:rsidRDefault="00000000">
      <w:r>
        <w:pict w14:anchorId="31D4D3C0">
          <v:rect id="_x0000_i1029" style="width:0;height:1.5pt" o:hralign="center" o:hrstd="t" o:hr="t" fillcolor="#a0a0a0" stroked="f"/>
        </w:pict>
      </w:r>
    </w:p>
    <w:p w14:paraId="00000020" w14:textId="77777777" w:rsidR="00612433" w:rsidRDefault="00000000">
      <w:pPr>
        <w:pStyle w:val="Heading2"/>
        <w:keepNext w:val="0"/>
        <w:keepLines w:val="0"/>
        <w:spacing w:after="80"/>
        <w:rPr>
          <w:b/>
          <w:bCs/>
          <w:sz w:val="34"/>
          <w:szCs w:val="34"/>
        </w:rPr>
      </w:pPr>
      <w:bookmarkStart w:id="9" w:name="_bnlnlpix0x2y" w:colFirst="0" w:colLast="0"/>
      <w:bookmarkEnd w:id="9"/>
      <w:r>
        <w:rPr>
          <w:b/>
          <w:bCs/>
          <w:sz w:val="34"/>
          <w:szCs w:val="34"/>
        </w:rPr>
        <w:t>4. Data Cleaning and Preparation (50 Marks)</w:t>
      </w:r>
    </w:p>
    <w:p w14:paraId="00000021" w14:textId="77777777" w:rsidR="00612433" w:rsidRDefault="00000000">
      <w:pPr>
        <w:pStyle w:val="Heading3"/>
        <w:keepNext w:val="0"/>
        <w:keepLines w:val="0"/>
        <w:spacing w:before="280"/>
        <w:rPr>
          <w:b/>
          <w:bCs/>
          <w:color w:val="000000"/>
          <w:sz w:val="26"/>
          <w:szCs w:val="26"/>
        </w:rPr>
      </w:pPr>
      <w:bookmarkStart w:id="10" w:name="_63jn1tau6xjy" w:colFirst="0" w:colLast="0"/>
      <w:bookmarkEnd w:id="10"/>
      <w:r>
        <w:rPr>
          <w:b/>
          <w:bCs/>
          <w:color w:val="000000"/>
          <w:sz w:val="26"/>
          <w:szCs w:val="26"/>
        </w:rPr>
        <w:t>4.1 Capacity Data</w:t>
      </w:r>
    </w:p>
    <w:p w14:paraId="00000022" w14:textId="77777777" w:rsidR="00612433" w:rsidRDefault="00000000">
      <w:pPr>
        <w:spacing w:before="240" w:after="240"/>
      </w:pPr>
      <w:r>
        <w:t xml:space="preserve">The sector-wise capacity data was structured as a Python dictionary with cumulative capacity as of 2014 and annual additions per year. A custom function </w:t>
      </w:r>
      <w:proofErr w:type="spellStart"/>
      <w:r>
        <w:rPr>
          <w:rFonts w:ascii="Roboto Mono" w:eastAsia="Roboto Mono" w:hAnsi="Roboto Mono" w:cs="Roboto Mono"/>
          <w:color w:val="188038"/>
        </w:rPr>
        <w:t>calculate_</w:t>
      </w:r>
      <w:proofErr w:type="gramStart"/>
      <w:r>
        <w:rPr>
          <w:rFonts w:ascii="Roboto Mono" w:eastAsia="Roboto Mono" w:hAnsi="Roboto Mono" w:cs="Roboto Mono"/>
          <w:color w:val="188038"/>
        </w:rPr>
        <w:t>cumulative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was written to iteratively compute the running cumulative total for each sector across all years:</w:t>
      </w:r>
    </w:p>
    <w:p w14:paraId="00000023" w14:textId="77777777" w:rsidR="00612433" w:rsidRDefault="00000000">
      <w:pPr>
        <w:spacing w:before="240" w:after="240"/>
      </w:pPr>
      <w:r>
        <w:t>MW values were converted to GW by dividing by 1000 for plotting, keeping the scale readable on trend charts.</w:t>
      </w:r>
    </w:p>
    <w:p w14:paraId="00000024" w14:textId="77777777" w:rsidR="00612433" w:rsidRDefault="00000000">
      <w:pPr>
        <w:pStyle w:val="Heading3"/>
        <w:keepNext w:val="0"/>
        <w:keepLines w:val="0"/>
        <w:spacing w:before="280"/>
        <w:rPr>
          <w:b/>
          <w:bCs/>
          <w:color w:val="000000"/>
          <w:sz w:val="26"/>
          <w:szCs w:val="26"/>
        </w:rPr>
      </w:pPr>
      <w:bookmarkStart w:id="11" w:name="_v5l4m2u7ku36" w:colFirst="0" w:colLast="0"/>
      <w:bookmarkEnd w:id="11"/>
      <w:r>
        <w:rPr>
          <w:b/>
          <w:bCs/>
          <w:color w:val="000000"/>
          <w:sz w:val="26"/>
          <w:szCs w:val="26"/>
        </w:rPr>
        <w:t>4.2 State-wise Data Parsing</w:t>
      </w:r>
    </w:p>
    <w:p w14:paraId="00000025" w14:textId="77777777" w:rsidR="00612433" w:rsidRDefault="00000000">
      <w:pPr>
        <w:spacing w:before="240" w:after="240"/>
      </w:pPr>
      <w:r>
        <w:t xml:space="preserve">The state-wise capacity data was manually transcribed from the MNRE report as a raw multi-line text </w:t>
      </w:r>
      <w:proofErr w:type="gramStart"/>
      <w:r>
        <w:t>string :</w:t>
      </w:r>
      <w:proofErr w:type="gramEnd"/>
    </w:p>
    <w:p w14:paraId="00000026" w14:textId="77777777" w:rsidR="00612433" w:rsidRDefault="00000000">
      <w:pPr>
        <w:numPr>
          <w:ilvl w:val="0"/>
          <w:numId w:val="3"/>
        </w:numPr>
        <w:spacing w:before="240"/>
      </w:pPr>
      <w:r>
        <w:t>Split each line into state name tokens (non-numeric strings) and numeric values</w:t>
      </w:r>
    </w:p>
    <w:p w14:paraId="00000027" w14:textId="77777777" w:rsidR="00612433" w:rsidRDefault="00000000">
      <w:pPr>
        <w:numPr>
          <w:ilvl w:val="0"/>
          <w:numId w:val="3"/>
        </w:numPr>
      </w:pPr>
      <w:r>
        <w:t>Handled multi-word state names correctly by accumulating non-numeric tokens</w:t>
      </w:r>
    </w:p>
    <w:p w14:paraId="00000028" w14:textId="77777777" w:rsidR="00612433" w:rsidRDefault="00000000">
      <w:pPr>
        <w:numPr>
          <w:ilvl w:val="0"/>
          <w:numId w:val="3"/>
        </w:numPr>
      </w:pPr>
      <w:r>
        <w:t xml:space="preserve">Dropped irrelevant columns (index column, state code column) using </w:t>
      </w:r>
      <w:proofErr w:type="spellStart"/>
      <w:proofErr w:type="gramStart"/>
      <w:r>
        <w:rPr>
          <w:rFonts w:ascii="Roboto Mono" w:eastAsia="Roboto Mono" w:hAnsi="Roboto Mono" w:cs="Roboto Mono"/>
          <w:color w:val="188038"/>
        </w:rPr>
        <w:t>df.drop</w:t>
      </w:r>
      <w:proofErr w:type="spellEnd"/>
      <w:proofErr w:type="gramEnd"/>
      <w:r>
        <w:rPr>
          <w:rFonts w:ascii="Roboto Mono" w:eastAsia="Roboto Mono" w:hAnsi="Roboto Mono" w:cs="Roboto Mono"/>
          <w:color w:val="188038"/>
        </w:rPr>
        <w:t>(columns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0, 2])</w:t>
      </w:r>
    </w:p>
    <w:p w14:paraId="00000029" w14:textId="77777777" w:rsidR="00612433" w:rsidRDefault="00000000">
      <w:pPr>
        <w:numPr>
          <w:ilvl w:val="0"/>
          <w:numId w:val="3"/>
        </w:numPr>
      </w:pPr>
      <w:r>
        <w:t>Assigned all column names manually</w:t>
      </w:r>
    </w:p>
    <w:p w14:paraId="0000002A" w14:textId="77777777" w:rsidR="00612433" w:rsidRDefault="00000000">
      <w:pPr>
        <w:numPr>
          <w:ilvl w:val="0"/>
          <w:numId w:val="3"/>
        </w:numPr>
        <w:spacing w:after="240"/>
      </w:pPr>
      <w:r>
        <w:t>The missing data here was handled by taking mean or by taking proper assumptions.</w:t>
      </w:r>
    </w:p>
    <w:p w14:paraId="0000002B" w14:textId="77777777" w:rsidR="00612433" w:rsidRDefault="00000000">
      <w:pPr>
        <w:pStyle w:val="Heading3"/>
        <w:keepNext w:val="0"/>
        <w:keepLines w:val="0"/>
        <w:spacing w:before="280"/>
        <w:rPr>
          <w:b/>
          <w:bCs/>
          <w:color w:val="000000"/>
          <w:sz w:val="26"/>
          <w:szCs w:val="26"/>
        </w:rPr>
      </w:pPr>
      <w:bookmarkStart w:id="12" w:name="_ijcjr3exvvj1" w:colFirst="0" w:colLast="0"/>
      <w:bookmarkEnd w:id="12"/>
      <w:r>
        <w:rPr>
          <w:b/>
          <w:bCs/>
          <w:color w:val="000000"/>
          <w:sz w:val="26"/>
          <w:szCs w:val="26"/>
        </w:rPr>
        <w:t>4.3 Generation Data (Excel File)</w:t>
      </w:r>
    </w:p>
    <w:p w14:paraId="0000002C" w14:textId="77777777" w:rsidR="00612433" w:rsidRDefault="00000000">
      <w:pPr>
        <w:spacing w:before="240" w:after="240"/>
      </w:pPr>
      <w:r>
        <w:t xml:space="preserve">The electricity generation dataset was loaded from </w:t>
      </w:r>
      <w:proofErr w:type="gramStart"/>
      <w:r>
        <w:rPr>
          <w:rFonts w:ascii="Roboto Mono" w:eastAsia="Roboto Mono" w:hAnsi="Roboto Mono" w:cs="Roboto Mono"/>
          <w:color w:val="188038"/>
        </w:rPr>
        <w:t>power.xlsx</w:t>
      </w:r>
      <w:r>
        <w:t xml:space="preserve"> .</w:t>
      </w:r>
      <w:proofErr w:type="gramEnd"/>
      <w:r>
        <w:t xml:space="preserve"> </w:t>
      </w:r>
    </w:p>
    <w:p w14:paraId="0000002D" w14:textId="77777777" w:rsidR="00612433" w:rsidRDefault="00000000">
      <w:pPr>
        <w:spacing w:before="240" w:after="240"/>
      </w:pPr>
      <w:r>
        <w:t xml:space="preserve">Renewable sources (Wind, Solar, Bio Power, Small-Hydro) were then filtered and grouped by year to compute total actual renewable generation per year using </w:t>
      </w:r>
      <w:proofErr w:type="spellStart"/>
      <w:r>
        <w:rPr>
          <w:rFonts w:ascii="Roboto Mono" w:eastAsia="Roboto Mono" w:hAnsi="Roboto Mono" w:cs="Roboto Mono"/>
          <w:color w:val="188038"/>
        </w:rPr>
        <w:t>groupby</w:t>
      </w:r>
      <w:proofErr w:type="spellEnd"/>
      <w:r>
        <w:rPr>
          <w:rFonts w:ascii="Roboto Mono" w:eastAsia="Roboto Mono" w:hAnsi="Roboto Mono" w:cs="Roboto Mono"/>
          <w:color w:val="188038"/>
        </w:rPr>
        <w:t>('Year'</w:t>
      </w:r>
      <w:proofErr w:type="gramStart"/>
      <w:r>
        <w:rPr>
          <w:rFonts w:ascii="Roboto Mono" w:eastAsia="Roboto Mono" w:hAnsi="Roboto Mono" w:cs="Roboto Mono"/>
          <w:color w:val="188038"/>
        </w:rPr>
        <w:t>).sum</w:t>
      </w:r>
      <w:proofErr w:type="gramEnd"/>
      <w:r>
        <w:rPr>
          <w:rFonts w:ascii="Roboto Mono" w:eastAsia="Roboto Mono" w:hAnsi="Roboto Mono" w:cs="Roboto Mono"/>
          <w:color w:val="188038"/>
        </w:rPr>
        <w:t>()</w:t>
      </w:r>
      <w:r>
        <w:t>.</w:t>
      </w:r>
    </w:p>
    <w:p w14:paraId="0000002E" w14:textId="77777777" w:rsidR="00612433" w:rsidRDefault="00000000">
      <w:pPr>
        <w:pStyle w:val="Heading3"/>
        <w:keepNext w:val="0"/>
        <w:keepLines w:val="0"/>
        <w:spacing w:before="280"/>
        <w:rPr>
          <w:b/>
          <w:bCs/>
          <w:color w:val="000000"/>
          <w:sz w:val="26"/>
          <w:szCs w:val="26"/>
        </w:rPr>
      </w:pPr>
      <w:bookmarkStart w:id="13" w:name="_a98gr57sqsp1" w:colFirst="0" w:colLast="0"/>
      <w:bookmarkEnd w:id="13"/>
      <w:r>
        <w:rPr>
          <w:b/>
          <w:bCs/>
          <w:color w:val="000000"/>
          <w:sz w:val="26"/>
          <w:szCs w:val="26"/>
        </w:rPr>
        <w:t>4.4 Expected Generation Computation</w:t>
      </w:r>
    </w:p>
    <w:p w14:paraId="0000002F" w14:textId="77777777" w:rsidR="00612433" w:rsidRDefault="00000000">
      <w:pPr>
        <w:spacing w:before="240" w:after="240"/>
      </w:pPr>
      <w:r>
        <w:t>Expected maximum generation was derived from installed capacity data using the formula:</w:t>
      </w:r>
    </w:p>
    <w:p w14:paraId="00000030" w14:textId="77777777" w:rsidR="00612433" w:rsidRDefault="00000000">
      <w:r>
        <w:t>Expected Generation (BU) = Cumulative Capacity (MW) × 8760 hours ÷ 1,000,000</w:t>
      </w:r>
    </w:p>
    <w:p w14:paraId="00000031" w14:textId="77777777" w:rsidR="00612433" w:rsidRDefault="00612433"/>
    <w:p w14:paraId="00000032" w14:textId="77777777" w:rsidR="00612433" w:rsidRDefault="00000000">
      <w:pPr>
        <w:spacing w:before="240" w:after="240"/>
      </w:pPr>
      <w:r>
        <w:lastRenderedPageBreak/>
        <w:t>This represents the theoretical output if all installed capacity operated at 100% continuously, establishing an upper-bound benchmark for comparison with actual output.</w:t>
      </w:r>
    </w:p>
    <w:p w14:paraId="00000033" w14:textId="77777777" w:rsidR="00612433" w:rsidRDefault="00000000">
      <w:pPr>
        <w:pStyle w:val="Heading3"/>
        <w:keepNext w:val="0"/>
        <w:keepLines w:val="0"/>
        <w:spacing w:before="280"/>
        <w:rPr>
          <w:b/>
          <w:bCs/>
          <w:color w:val="000000"/>
          <w:sz w:val="26"/>
          <w:szCs w:val="26"/>
        </w:rPr>
      </w:pPr>
      <w:bookmarkStart w:id="14" w:name="_p5zf82drtp30" w:colFirst="0" w:colLast="0"/>
      <w:bookmarkEnd w:id="14"/>
      <w:r>
        <w:rPr>
          <w:b/>
          <w:bCs/>
          <w:color w:val="000000"/>
          <w:sz w:val="26"/>
          <w:szCs w:val="26"/>
        </w:rPr>
        <w:t>4.5 Capacity Utilization Factor (CUF) Computation</w:t>
      </w:r>
    </w:p>
    <w:p w14:paraId="00000034" w14:textId="77777777" w:rsidR="00612433" w:rsidRDefault="00000000">
      <w:pPr>
        <w:spacing w:before="240" w:after="240"/>
      </w:pPr>
      <w:r>
        <w:t>For the prediction module, CUFs were computed for four sources (Solar, Wind, Large Hydro, Biomass):</w:t>
      </w:r>
    </w:p>
    <w:p w14:paraId="00000035" w14:textId="77777777" w:rsidR="00612433" w:rsidRDefault="00000000">
      <w:r>
        <w:t>CUF = Generation (BU) / (Installed Capacity (GW) × 8.76)</w:t>
      </w:r>
    </w:p>
    <w:p w14:paraId="00000036" w14:textId="77777777" w:rsidR="00612433" w:rsidRDefault="00612433"/>
    <w:p w14:paraId="00000037" w14:textId="77777777" w:rsidR="00612433" w:rsidRDefault="00000000">
      <w:pPr>
        <w:spacing w:before="240" w:after="240"/>
      </w:pPr>
      <w:r>
        <w:t>CUF values were clipped to physically meaningful bounds (floor and cap) to prevent the regression from extrapolating unrealistic values — for example, Solar CUF was constrained between 10% and 30%, Wind between 15% and 40%, Hydro between 25% and 55%, and Biomass between 10% and 30%.</w:t>
      </w:r>
    </w:p>
    <w:p w14:paraId="00000038" w14:textId="77777777" w:rsidR="00612433" w:rsidRDefault="00000000">
      <w:r>
        <w:pict w14:anchorId="5F1EBE4E">
          <v:rect id="_x0000_i1030" style="width:0;height:1.5pt" o:hralign="center" o:hrstd="t" o:hr="t" fillcolor="#a0a0a0" stroked="f"/>
        </w:pict>
      </w:r>
    </w:p>
    <w:p w14:paraId="00000039" w14:textId="77777777" w:rsidR="00612433" w:rsidRDefault="00000000">
      <w:pPr>
        <w:pStyle w:val="Heading2"/>
        <w:keepNext w:val="0"/>
        <w:keepLines w:val="0"/>
        <w:spacing w:after="80"/>
        <w:rPr>
          <w:b/>
          <w:bCs/>
          <w:color w:val="000000"/>
          <w:sz w:val="26"/>
          <w:szCs w:val="26"/>
        </w:rPr>
      </w:pPr>
      <w:bookmarkStart w:id="15" w:name="_dqoc1s4a0goy" w:colFirst="0" w:colLast="0"/>
      <w:bookmarkEnd w:id="15"/>
      <w:r>
        <w:rPr>
          <w:b/>
          <w:bCs/>
          <w:sz w:val="34"/>
          <w:szCs w:val="34"/>
        </w:rPr>
        <w:t>5. Exploratory Data Analysis</w:t>
      </w:r>
      <w:r>
        <w:rPr>
          <w:b/>
          <w:bCs/>
          <w:color w:val="000000"/>
          <w:sz w:val="26"/>
          <w:szCs w:val="26"/>
        </w:rPr>
        <w:t>5.1 Capacity Growth Analysis</w:t>
      </w:r>
    </w:p>
    <w:p w14:paraId="0000003A" w14:textId="77777777" w:rsidR="00612433" w:rsidRDefault="00000000">
      <w:pPr>
        <w:spacing w:before="240" w:after="240"/>
      </w:pPr>
      <w:r>
        <w:t>The EDA began with an examination of cumulative installed capacity across all renewable sectors from 2014 to 2026.</w:t>
      </w:r>
    </w:p>
    <w:p w14:paraId="5364045A" w14:textId="6A10939D" w:rsidR="005B4AD7" w:rsidRDefault="005B4AD7" w:rsidP="005B4AD7">
      <w:pPr>
        <w:pStyle w:val="ListParagraph"/>
        <w:numPr>
          <w:ilvl w:val="0"/>
          <w:numId w:val="10"/>
        </w:numPr>
        <w:spacing w:before="240" w:after="240"/>
      </w:pPr>
      <w:r>
        <w:t>The data in MW was converted to GW</w:t>
      </w:r>
    </w:p>
    <w:p w14:paraId="0000003B" w14:textId="77777777" w:rsidR="00612433" w:rsidRDefault="00000000">
      <w:pPr>
        <w:spacing w:before="240" w:after="240"/>
        <w:rPr>
          <w:b/>
          <w:bCs/>
        </w:rPr>
      </w:pPr>
      <w:r>
        <w:rPr>
          <w:b/>
          <w:bCs/>
        </w:rPr>
        <w:t>Key findings:</w:t>
      </w:r>
    </w:p>
    <w:p w14:paraId="0000003C" w14:textId="77777777" w:rsidR="00612433" w:rsidRDefault="00000000">
      <w:pPr>
        <w:numPr>
          <w:ilvl w:val="0"/>
          <w:numId w:val="2"/>
        </w:numPr>
        <w:spacing w:before="240"/>
      </w:pPr>
      <w:r>
        <w:t>Solar Power grew from ~2.8 GW (2014) to 150.3 GW (2026) — a 5,200%+ increase over 12 years.</w:t>
      </w:r>
    </w:p>
    <w:p w14:paraId="0000003D" w14:textId="77777777" w:rsidR="00612433" w:rsidRDefault="00000000">
      <w:pPr>
        <w:numPr>
          <w:ilvl w:val="0"/>
          <w:numId w:val="2"/>
        </w:numPr>
      </w:pPr>
      <w:r>
        <w:t>Wind Power grew from 21 GW to ~56 GW over the same period — significant but far slower than solar.</w:t>
      </w:r>
    </w:p>
    <w:p w14:paraId="0000003E" w14:textId="77777777" w:rsidR="00612433" w:rsidRDefault="00000000">
      <w:pPr>
        <w:numPr>
          <w:ilvl w:val="0"/>
          <w:numId w:val="2"/>
        </w:numPr>
      </w:pPr>
      <w:r>
        <w:t>Total renewable capacity reached 223 GW by 2026, compared to ~35.8 GW in 2014 — a 6.2× increase.</w:t>
      </w:r>
    </w:p>
    <w:p w14:paraId="0000003F" w14:textId="77777777" w:rsidR="00612433" w:rsidRDefault="00000000">
      <w:pPr>
        <w:numPr>
          <w:ilvl w:val="0"/>
          <w:numId w:val="2"/>
        </w:numPr>
      </w:pPr>
      <w:r>
        <w:t>Solar surpassed wind as the dominant source around 2019-20 and now accounts for over 67% of cumulative renewable capacity.</w:t>
      </w:r>
    </w:p>
    <w:p w14:paraId="00000040" w14:textId="77777777" w:rsidR="00612433" w:rsidRDefault="00000000">
      <w:pPr>
        <w:numPr>
          <w:ilvl w:val="0"/>
          <w:numId w:val="2"/>
        </w:numPr>
      </w:pPr>
      <w:r>
        <w:t>The post-2021 acceleration in solar capacity directly coincides with the PLI scheme and Solar Park Scheme milestones. From 2021-22 to 2025-26, solar additions were 12,760 MW, 12,783 MW, 15,033 MW, 23,832 MW, and 37,957 MW respectively — a clearly accelerating trend.</w:t>
      </w:r>
    </w:p>
    <w:p w14:paraId="00000041" w14:textId="77777777" w:rsidR="00612433" w:rsidRDefault="00000000">
      <w:pPr>
        <w:numPr>
          <w:ilvl w:val="0"/>
          <w:numId w:val="2"/>
        </w:numPr>
        <w:spacing w:after="240"/>
      </w:pPr>
      <w:r>
        <w:t>By 2024-2026, the slope of total capacity growth is essentially equal to the slope of solar growth, meaning solar is responsible for nearly all incremental capacity addition in the system.</w:t>
      </w:r>
    </w:p>
    <w:p w14:paraId="00000042" w14:textId="77777777" w:rsidR="00612433" w:rsidRDefault="00000000">
      <w:pPr>
        <w:pStyle w:val="Heading3"/>
        <w:keepNext w:val="0"/>
        <w:keepLines w:val="0"/>
        <w:spacing w:before="280"/>
        <w:rPr>
          <w:b/>
          <w:bCs/>
          <w:color w:val="000000"/>
          <w:sz w:val="26"/>
          <w:szCs w:val="26"/>
        </w:rPr>
      </w:pPr>
      <w:bookmarkStart w:id="16" w:name="_9j4vanxxgo1q" w:colFirst="0" w:colLast="0"/>
      <w:bookmarkEnd w:id="16"/>
      <w:r>
        <w:rPr>
          <w:b/>
          <w:bCs/>
          <w:color w:val="000000"/>
          <w:sz w:val="26"/>
          <w:szCs w:val="26"/>
        </w:rPr>
        <w:t>5.2 Capacity Composition (2026)</w:t>
      </w:r>
    </w:p>
    <w:p w14:paraId="00000043" w14:textId="77777777" w:rsidR="00612433" w:rsidRDefault="00000000">
      <w:pPr>
        <w:spacing w:before="240" w:after="240"/>
      </w:pPr>
      <w:r>
        <w:lastRenderedPageBreak/>
        <w:t>A donut chart of cumulative capacity by 2026 shows:</w:t>
      </w:r>
    </w:p>
    <w:p w14:paraId="00000044" w14:textId="77777777" w:rsidR="00612433" w:rsidRDefault="00000000">
      <w:pPr>
        <w:numPr>
          <w:ilvl w:val="0"/>
          <w:numId w:val="7"/>
        </w:numPr>
        <w:spacing w:before="240"/>
      </w:pPr>
      <w:r>
        <w:t>Solar: ~67% of total renewable capacity</w:t>
      </w:r>
    </w:p>
    <w:p w14:paraId="00000045" w14:textId="77777777" w:rsidR="00612433" w:rsidRDefault="00000000">
      <w:pPr>
        <w:numPr>
          <w:ilvl w:val="0"/>
          <w:numId w:val="7"/>
        </w:numPr>
      </w:pPr>
      <w:r>
        <w:t>Wind: ~25%</w:t>
      </w:r>
    </w:p>
    <w:p w14:paraId="00000046" w14:textId="77777777" w:rsidR="00612433" w:rsidRDefault="00000000">
      <w:pPr>
        <w:numPr>
          <w:ilvl w:val="0"/>
          <w:numId w:val="7"/>
        </w:numPr>
        <w:spacing w:after="240"/>
      </w:pPr>
      <w:r>
        <w:t>Small Hydro, Biomass, Waste: combined ~8%</w:t>
      </w:r>
    </w:p>
    <w:p w14:paraId="00000047" w14:textId="77777777" w:rsidR="00612433" w:rsidRDefault="00000000">
      <w:pPr>
        <w:pStyle w:val="Heading3"/>
        <w:keepNext w:val="0"/>
        <w:keepLines w:val="0"/>
        <w:spacing w:before="280"/>
        <w:rPr>
          <w:b/>
          <w:bCs/>
          <w:color w:val="000000"/>
          <w:sz w:val="26"/>
          <w:szCs w:val="26"/>
        </w:rPr>
      </w:pPr>
      <w:bookmarkStart w:id="17" w:name="_unklekexyxdq" w:colFirst="0" w:colLast="0"/>
      <w:bookmarkEnd w:id="17"/>
      <w:r>
        <w:rPr>
          <w:b/>
          <w:bCs/>
          <w:color w:val="000000"/>
          <w:sz w:val="26"/>
          <w:szCs w:val="26"/>
        </w:rPr>
        <w:t>5.3 State-wise Analysis</w:t>
      </w:r>
    </w:p>
    <w:p w14:paraId="00000048" w14:textId="77777777" w:rsidR="00612433" w:rsidRDefault="00000000">
      <w:pPr>
        <w:spacing w:before="240" w:after="240"/>
      </w:pPr>
      <w:r>
        <w:t>The state-wise EDA revealed high geographic concentration:</w:t>
      </w:r>
    </w:p>
    <w:p w14:paraId="00000049" w14:textId="77777777" w:rsidR="00612433" w:rsidRDefault="00000000">
      <w:pPr>
        <w:numPr>
          <w:ilvl w:val="0"/>
          <w:numId w:val="5"/>
        </w:numPr>
        <w:spacing w:before="240"/>
      </w:pPr>
      <w:r>
        <w:rPr>
          <w:b/>
          <w:bCs/>
        </w:rPr>
        <w:t>Solar:</w:t>
      </w:r>
      <w:r>
        <w:t xml:space="preserve"> Rajasthan (~41,013 MW) and Gujarat (~29,303 MW) lead due to the Thar Desert and Kutch region's high solar irradiance. Maharashtra ranks third.</w:t>
      </w:r>
    </w:p>
    <w:p w14:paraId="0000004A" w14:textId="77777777" w:rsidR="00612433" w:rsidRDefault="00000000">
      <w:pPr>
        <w:numPr>
          <w:ilvl w:val="0"/>
          <w:numId w:val="5"/>
        </w:numPr>
      </w:pPr>
      <w:r>
        <w:rPr>
          <w:b/>
          <w:bCs/>
        </w:rPr>
        <w:t>Wind:</w:t>
      </w:r>
      <w:r>
        <w:t xml:space="preserve"> Gujarat (15,642 MW), Tamil Nadu (12,147 MW), and Karnataka (8,730 MW) dominate, benefiting from coastal and Western Ghats wind corridors.</w:t>
      </w:r>
    </w:p>
    <w:p w14:paraId="0000004B" w14:textId="77777777" w:rsidR="00612433" w:rsidRDefault="00000000">
      <w:pPr>
        <w:numPr>
          <w:ilvl w:val="0"/>
          <w:numId w:val="5"/>
        </w:numPr>
      </w:pPr>
      <w:r>
        <w:rPr>
          <w:b/>
          <w:bCs/>
        </w:rPr>
        <w:t>Large Hydro:</w:t>
      </w:r>
      <w:r>
        <w:t xml:space="preserve"> Himachal Pradesh (11,421 MW) and Uttarakhand (4,785 MW) lead due to steep Himalayan rivers.</w:t>
      </w:r>
    </w:p>
    <w:p w14:paraId="0000004C" w14:textId="77777777" w:rsidR="00612433" w:rsidRDefault="00000000">
      <w:pPr>
        <w:numPr>
          <w:ilvl w:val="0"/>
          <w:numId w:val="5"/>
        </w:numPr>
      </w:pPr>
      <w:r>
        <w:rPr>
          <w:b/>
          <w:bCs/>
        </w:rPr>
        <w:t>Biomass:</w:t>
      </w:r>
      <w:r>
        <w:t xml:space="preserve"> Maharashtra (2,907 MW) and Uttar Pradesh (1,985 MW) lead due to large sugar/agricultural industries.</w:t>
      </w:r>
    </w:p>
    <w:p w14:paraId="0000004D" w14:textId="77777777" w:rsidR="00612433" w:rsidRDefault="00000000">
      <w:pPr>
        <w:numPr>
          <w:ilvl w:val="0"/>
          <w:numId w:val="5"/>
        </w:numPr>
        <w:spacing w:after="240"/>
      </w:pPr>
      <w:r>
        <w:rPr>
          <w:b/>
          <w:bCs/>
        </w:rPr>
        <w:t>Small Hydro:</w:t>
      </w:r>
      <w:r>
        <w:t xml:space="preserve"> Karnataka (1,284 MW) and Himachal Pradesh (1,013 MW) lead.</w:t>
      </w:r>
    </w:p>
    <w:p w14:paraId="0000004E" w14:textId="77777777" w:rsidR="00612433" w:rsidRDefault="00000000">
      <w:pPr>
        <w:spacing w:before="240" w:after="240"/>
      </w:pPr>
      <w:r>
        <w:t>The top 5 states account for the overwhelming majority of India's installed renewable capacity — the energy transition is geographically uneven.</w:t>
      </w:r>
    </w:p>
    <w:p w14:paraId="0000004F" w14:textId="77777777" w:rsidR="00612433" w:rsidRDefault="00000000">
      <w:pPr>
        <w:pStyle w:val="Heading3"/>
        <w:keepNext w:val="0"/>
        <w:keepLines w:val="0"/>
        <w:spacing w:before="280"/>
        <w:rPr>
          <w:b/>
          <w:bCs/>
          <w:color w:val="000000"/>
          <w:sz w:val="26"/>
          <w:szCs w:val="26"/>
        </w:rPr>
      </w:pPr>
      <w:bookmarkStart w:id="18" w:name="_bdwisshi24fx" w:colFirst="0" w:colLast="0"/>
      <w:bookmarkEnd w:id="18"/>
      <w:r>
        <w:rPr>
          <w:b/>
          <w:bCs/>
          <w:color w:val="000000"/>
          <w:sz w:val="26"/>
          <w:szCs w:val="26"/>
        </w:rPr>
        <w:t>5.4 Generation Analysis</w:t>
      </w:r>
    </w:p>
    <w:p w14:paraId="00000050" w14:textId="77777777" w:rsidR="00612433" w:rsidRDefault="00000000">
      <w:pPr>
        <w:spacing w:before="240" w:after="240"/>
      </w:pPr>
      <w:r>
        <w:t>The generation EDA analyzed actual electricity produced (in BU) across all sources from 2015-16 to 2025-26.</w:t>
      </w:r>
    </w:p>
    <w:p w14:paraId="00000051" w14:textId="77777777" w:rsidR="00612433" w:rsidRDefault="00000000">
      <w:pPr>
        <w:spacing w:before="240" w:after="240"/>
        <w:rPr>
          <w:b/>
          <w:bCs/>
        </w:rPr>
      </w:pPr>
      <w:r>
        <w:rPr>
          <w:b/>
          <w:bCs/>
        </w:rPr>
        <w:t>Key findings:</w:t>
      </w:r>
    </w:p>
    <w:p w14:paraId="00000052" w14:textId="77777777" w:rsidR="00612433" w:rsidRDefault="00000000">
      <w:pPr>
        <w:numPr>
          <w:ilvl w:val="0"/>
          <w:numId w:val="8"/>
        </w:numPr>
        <w:spacing w:before="240"/>
      </w:pPr>
      <w:r>
        <w:t>Solar generation grew from 7.4 BU (2015-16) to 153.9 BU (2025-26) — a 20× increase in 10 years.</w:t>
      </w:r>
    </w:p>
    <w:p w14:paraId="00000053" w14:textId="77777777" w:rsidR="00612433" w:rsidRDefault="00000000">
      <w:pPr>
        <w:numPr>
          <w:ilvl w:val="0"/>
          <w:numId w:val="8"/>
        </w:numPr>
      </w:pPr>
      <w:r>
        <w:t>Wind generation grew from 33.0 BU to 100.2 BU over the same period.</w:t>
      </w:r>
    </w:p>
    <w:p w14:paraId="00000054" w14:textId="77777777" w:rsidR="00612433" w:rsidRDefault="00000000">
      <w:pPr>
        <w:numPr>
          <w:ilvl w:val="0"/>
          <w:numId w:val="8"/>
        </w:numPr>
      </w:pPr>
      <w:r>
        <w:t>Total renewable generation (Solar + Wind + Hydro + Bio) grew from ~187 BU to over 425 BU.</w:t>
      </w:r>
    </w:p>
    <w:p w14:paraId="00000055" w14:textId="77777777" w:rsidR="00612433" w:rsidRDefault="00000000">
      <w:pPr>
        <w:numPr>
          <w:ilvl w:val="0"/>
          <w:numId w:val="8"/>
        </w:numPr>
      </w:pPr>
      <w:r>
        <w:t>Despite renewable growth, non-renewable generation also grew in absolute terms — India's electricity demand is rising so fast that both sources expand simultaneously.</w:t>
      </w:r>
    </w:p>
    <w:p w14:paraId="00000056" w14:textId="77777777" w:rsidR="00612433" w:rsidRDefault="00000000">
      <w:pPr>
        <w:numPr>
          <w:ilvl w:val="0"/>
          <w:numId w:val="8"/>
        </w:numPr>
      </w:pPr>
      <w:r>
        <w:t>The renewable share (RE%) rose from approximately 18% in 2015-16 to around 25% in 2025-26.</w:t>
      </w:r>
    </w:p>
    <w:p w14:paraId="00000057" w14:textId="77777777" w:rsidR="00612433" w:rsidRDefault="00000000">
      <w:pPr>
        <w:numPr>
          <w:ilvl w:val="0"/>
          <w:numId w:val="8"/>
        </w:numPr>
        <w:spacing w:after="240"/>
      </w:pPr>
      <w:r>
        <w:t>Coal remains the dominant source — more than 70% of total generation as of 2025-26, per the Sankey diagram.</w:t>
      </w:r>
    </w:p>
    <w:p w14:paraId="00000058" w14:textId="77777777" w:rsidR="00612433" w:rsidRDefault="00000000">
      <w:pPr>
        <w:pStyle w:val="Heading3"/>
        <w:keepNext w:val="0"/>
        <w:keepLines w:val="0"/>
        <w:spacing w:before="280"/>
        <w:rPr>
          <w:b/>
          <w:bCs/>
          <w:color w:val="000000"/>
          <w:sz w:val="26"/>
          <w:szCs w:val="26"/>
        </w:rPr>
      </w:pPr>
      <w:bookmarkStart w:id="19" w:name="_l8o55pnd35lu" w:colFirst="0" w:colLast="0"/>
      <w:bookmarkEnd w:id="19"/>
      <w:r>
        <w:rPr>
          <w:b/>
          <w:bCs/>
          <w:color w:val="000000"/>
          <w:sz w:val="26"/>
          <w:szCs w:val="26"/>
        </w:rPr>
        <w:t>5.5 Efficiency Gap Analysis</w:t>
      </w:r>
    </w:p>
    <w:p w14:paraId="00000059" w14:textId="77777777" w:rsidR="00612433" w:rsidRDefault="00000000">
      <w:pPr>
        <w:spacing w:before="240" w:after="240"/>
      </w:pPr>
      <w:r>
        <w:t>The "Actual vs Expected" comparison revealed:</w:t>
      </w:r>
    </w:p>
    <w:p w14:paraId="0000005A" w14:textId="77777777" w:rsidR="00612433" w:rsidRDefault="00000000">
      <w:pPr>
        <w:numPr>
          <w:ilvl w:val="0"/>
          <w:numId w:val="1"/>
        </w:numPr>
        <w:spacing w:before="240"/>
      </w:pPr>
      <w:r>
        <w:lastRenderedPageBreak/>
        <w:t>Actual RE generation is consistently and significantly below the theoretical maximum from installed capacity.</w:t>
      </w:r>
    </w:p>
    <w:p w14:paraId="0000005B" w14:textId="77777777" w:rsidR="00612433" w:rsidRDefault="00000000">
      <w:pPr>
        <w:numPr>
          <w:ilvl w:val="0"/>
          <w:numId w:val="1"/>
        </w:numPr>
      </w:pPr>
      <w:r>
        <w:t>This gap exists due to intermittency (solar doesn't produce at night), seasonal variability, grid absorption limits, and curtailment.</w:t>
      </w:r>
    </w:p>
    <w:p w14:paraId="0000005C" w14:textId="77777777" w:rsidR="00612433" w:rsidRDefault="00000000">
      <w:pPr>
        <w:numPr>
          <w:ilvl w:val="0"/>
          <w:numId w:val="1"/>
        </w:numPr>
        <w:spacing w:after="240"/>
      </w:pPr>
      <w:r>
        <w:t>The gap underscores that the transition requires not just more capacity, but better storage and grid infrastructure.</w:t>
      </w:r>
    </w:p>
    <w:p w14:paraId="0000005D" w14:textId="77777777" w:rsidR="00612433" w:rsidRDefault="00000000">
      <w:pPr>
        <w:pStyle w:val="Heading3"/>
        <w:keepNext w:val="0"/>
        <w:keepLines w:val="0"/>
        <w:spacing w:before="280"/>
        <w:rPr>
          <w:b/>
          <w:bCs/>
          <w:color w:val="000000"/>
          <w:sz w:val="26"/>
          <w:szCs w:val="26"/>
        </w:rPr>
      </w:pPr>
      <w:bookmarkStart w:id="20" w:name="_1doiu8q44qlt" w:colFirst="0" w:colLast="0"/>
      <w:bookmarkEnd w:id="20"/>
      <w:r>
        <w:rPr>
          <w:b/>
          <w:bCs/>
          <w:color w:val="000000"/>
          <w:sz w:val="26"/>
          <w:szCs w:val="26"/>
        </w:rPr>
        <w:t>5.6 Year-on-Year Growth Heatmap</w:t>
      </w:r>
    </w:p>
    <w:p w14:paraId="0000005E" w14:textId="77777777" w:rsidR="00612433" w:rsidRDefault="00000000">
      <w:pPr>
        <w:spacing w:before="240" w:after="240"/>
      </w:pPr>
      <w:r>
        <w:t>The growth heatmap across all sources showed:</w:t>
      </w:r>
    </w:p>
    <w:p w14:paraId="0000005F" w14:textId="77777777" w:rsidR="00612433" w:rsidRDefault="00000000">
      <w:pPr>
        <w:numPr>
          <w:ilvl w:val="0"/>
          <w:numId w:val="6"/>
        </w:numPr>
        <w:spacing w:before="240"/>
      </w:pPr>
      <w:r>
        <w:t>Solar: consistently positive growth across almost all years — the most reliable performer.</w:t>
      </w:r>
    </w:p>
    <w:p w14:paraId="00000060" w14:textId="77777777" w:rsidR="00612433" w:rsidRDefault="00000000">
      <w:pPr>
        <w:numPr>
          <w:ilvl w:val="0"/>
          <w:numId w:val="6"/>
        </w:numPr>
      </w:pPr>
      <w:r>
        <w:t>Wind and Hydro: irregular, some weak years, reflecting weather and seasonal dependence.</w:t>
      </w:r>
    </w:p>
    <w:p w14:paraId="00000061" w14:textId="77777777" w:rsidR="00612433" w:rsidRDefault="00000000">
      <w:pPr>
        <w:numPr>
          <w:ilvl w:val="0"/>
          <w:numId w:val="6"/>
        </w:numPr>
      </w:pPr>
      <w:r>
        <w:t>Oil &amp; Gas: repeated negative growth phases — a declining source.</w:t>
      </w:r>
    </w:p>
    <w:p w14:paraId="00000062" w14:textId="77777777" w:rsidR="00612433" w:rsidRDefault="00000000">
      <w:pPr>
        <w:numPr>
          <w:ilvl w:val="0"/>
          <w:numId w:val="6"/>
        </w:numPr>
        <w:spacing w:after="240"/>
      </w:pPr>
      <w:r>
        <w:t>Coal: relatively stable, rarely dropping sharply, confirming its role as the consistent baseload.</w:t>
      </w:r>
    </w:p>
    <w:p w14:paraId="00000063" w14:textId="77777777" w:rsidR="00612433" w:rsidRDefault="00000000">
      <w:r>
        <w:pict w14:anchorId="2663CB26">
          <v:rect id="_x0000_i1031" style="width:0;height:1.5pt" o:hralign="center" o:hrstd="t" o:hr="t" fillcolor="#a0a0a0" stroked="f"/>
        </w:pict>
      </w:r>
    </w:p>
    <w:p w14:paraId="00000064" w14:textId="77777777" w:rsidR="00612433" w:rsidRDefault="00000000">
      <w:pPr>
        <w:pStyle w:val="Heading2"/>
        <w:keepNext w:val="0"/>
        <w:keepLines w:val="0"/>
        <w:spacing w:after="80"/>
      </w:pPr>
      <w:bookmarkStart w:id="21" w:name="_lxuv8694ehlf" w:colFirst="0" w:colLast="0"/>
      <w:bookmarkEnd w:id="21"/>
      <w:r>
        <w:rPr>
          <w:b/>
          <w:bCs/>
          <w:sz w:val="34"/>
          <w:szCs w:val="34"/>
        </w:rPr>
        <w:t>6. Data Visualization</w:t>
      </w:r>
    </w:p>
    <w:p w14:paraId="00000065" w14:textId="77777777" w:rsidR="00612433" w:rsidRDefault="00000000">
      <w:pPr>
        <w:pStyle w:val="Heading3"/>
        <w:keepNext w:val="0"/>
        <w:keepLines w:val="0"/>
        <w:spacing w:before="280"/>
      </w:pPr>
      <w:bookmarkStart w:id="22" w:name="_f005rxtwsu8j" w:colFirst="0" w:colLast="0"/>
      <w:bookmarkEnd w:id="22"/>
      <w:r>
        <w:rPr>
          <w:b/>
          <w:bCs/>
          <w:color w:val="000000"/>
          <w:sz w:val="26"/>
          <w:szCs w:val="26"/>
        </w:rPr>
        <w:t>Page 1 — Capacity Growth (1_Growth.py)</w:t>
      </w:r>
    </w:p>
    <w:p w14:paraId="00000066" w14:textId="77777777" w:rsidR="00612433" w:rsidRDefault="00000000">
      <w:pPr>
        <w:spacing w:before="240" w:after="240"/>
      </w:pPr>
      <w:r>
        <w:rPr>
          <w:b/>
          <w:bCs/>
        </w:rPr>
        <w:t>Chart 1: Capacity Growth Trend Line Chart</w:t>
      </w:r>
      <w:r>
        <w:t xml:space="preserve"> An interactive Plotly line chart with markers tracking cumulative capacity (in GW) for Solar Power, Wind Power, and Total from 2014 to 2026. Key insight: Solar's exponential growth post-2018 contrasts with Wind's linear growth; the total line is entirely Solar-shaped after 2020.</w:t>
      </w:r>
    </w:p>
    <w:p w14:paraId="00000067" w14:textId="77777777" w:rsidR="00612433" w:rsidRDefault="00000000">
      <w:pPr>
        <w:spacing w:before="240" w:after="240"/>
      </w:pPr>
      <w:r>
        <w:rPr>
          <w:b/>
          <w:bCs/>
        </w:rPr>
        <w:t>Chart 2: Capacity Composition Donut Chart (2026)</w:t>
      </w:r>
      <w:r>
        <w:t xml:space="preserve"> A Plotly donut chart showing the share of each renewable sector in the 2026 cumulative total, confirming Solar at ~67%.</w:t>
      </w:r>
    </w:p>
    <w:p w14:paraId="00000068" w14:textId="77777777" w:rsidR="00612433" w:rsidRDefault="00000000">
      <w:pPr>
        <w:spacing w:before="240" w:after="240"/>
      </w:pPr>
      <w:r>
        <w:rPr>
          <w:b/>
          <w:bCs/>
        </w:rPr>
        <w:t>Chart 3: State-wise Total Capacity Bar Chart</w:t>
      </w:r>
      <w:r>
        <w:t xml:space="preserve"> A Plotly bar chart (color-scaled by capacity intensity) showing all states sorted by total renewable capacity. Gujarat and Rajasthan stand out as national leaders.</w:t>
      </w:r>
    </w:p>
    <w:p w14:paraId="00000069" w14:textId="77777777" w:rsidR="00612433" w:rsidRDefault="00000000">
      <w:pPr>
        <w:spacing w:before="240" w:after="240"/>
      </w:pPr>
      <w:r>
        <w:rPr>
          <w:b/>
          <w:bCs/>
        </w:rPr>
        <w:t>Chart 4: Top 3 States per Renewable Source (5 panel horizontal bar charts)</w:t>
      </w:r>
      <w:r>
        <w:t xml:space="preserve"> Five horizontal bar charts (Solar, Wind, Small Hydro, Biomass, Large Hydro), each showing the top 3 states with their installed capacity. Each chart is paired with a dedicated insight panel explaining why those states lead — citing natural resource endowments, terrain, policy, and industrial base.</w:t>
      </w:r>
    </w:p>
    <w:p w14:paraId="0000006A" w14:textId="77777777" w:rsidR="00612433" w:rsidRDefault="00000000">
      <w:pPr>
        <w:pStyle w:val="Heading3"/>
        <w:keepNext w:val="0"/>
        <w:keepLines w:val="0"/>
        <w:spacing w:before="280"/>
        <w:rPr>
          <w:b/>
          <w:bCs/>
          <w:color w:val="000000"/>
          <w:sz w:val="26"/>
          <w:szCs w:val="26"/>
        </w:rPr>
      </w:pPr>
      <w:bookmarkStart w:id="23" w:name="_p5fzmkg4kip8" w:colFirst="0" w:colLast="0"/>
      <w:bookmarkEnd w:id="23"/>
      <w:r>
        <w:rPr>
          <w:b/>
          <w:bCs/>
          <w:color w:val="000000"/>
          <w:sz w:val="26"/>
          <w:szCs w:val="26"/>
        </w:rPr>
        <w:t>Page 2 — Generation Analysis (2_Generation.py)</w:t>
      </w:r>
    </w:p>
    <w:p w14:paraId="0000006B" w14:textId="77777777" w:rsidR="00612433" w:rsidRDefault="00000000">
      <w:pPr>
        <w:spacing w:before="240" w:after="240"/>
      </w:pPr>
      <w:r>
        <w:rPr>
          <w:b/>
          <w:bCs/>
        </w:rPr>
        <w:lastRenderedPageBreak/>
        <w:t>Chart 1: Actual vs Expected Generation (Matplotlib bar + line combo)</w:t>
      </w:r>
      <w:r>
        <w:t xml:space="preserve"> Sage green bars represent actual RE generation per year. A golden line with white-center markers represents the expected maximum output. A cream-gold shaded region with hatch texture fills the efficiency gap between them. The chart reveals that actual generation is always far below the theoretical maximum.</w:t>
      </w:r>
    </w:p>
    <w:p w14:paraId="0000006C" w14:textId="77777777" w:rsidR="00612433" w:rsidRDefault="00000000">
      <w:pPr>
        <w:spacing w:before="240" w:after="240"/>
      </w:pPr>
      <w:r>
        <w:rPr>
          <w:b/>
          <w:bCs/>
        </w:rPr>
        <w:t>Chart 2: Renewable vs Non-Renewable Area Chart (Plotly)</w:t>
      </w:r>
      <w:r>
        <w:t xml:space="preserve"> Area line chart tracking Renewable, Non-Renewable, and Total generation year-on-year. Annotated at 2022-23 with "RE rising fast " and at 2024-25 with "Non-RE still climbs". Insight: both are growing, confirming that the transition is about share, not absolute displacement.</w:t>
      </w:r>
    </w:p>
    <w:p w14:paraId="0000006D" w14:textId="77777777" w:rsidR="00612433" w:rsidRDefault="00000000">
      <w:pPr>
        <w:spacing w:before="240" w:after="240"/>
      </w:pPr>
      <w:r>
        <w:rPr>
          <w:b/>
          <w:bCs/>
        </w:rPr>
        <w:t>Chart 3: Sankey Composition Diagram (Plotly)</w:t>
      </w:r>
      <w:r>
        <w:t xml:space="preserve"> A Sankey flow diagram for 2025-26 showing how total electricity flows from a single "Total Electricity" node to all individual sources. Coal's flow is the widest by far. Solar's flow has grown to rival Hydro. Custom text colors and no node borders keep the diagram clean.</w:t>
      </w:r>
    </w:p>
    <w:p w14:paraId="0000006E" w14:textId="77777777" w:rsidR="00612433" w:rsidRDefault="00000000">
      <w:pPr>
        <w:spacing w:before="240" w:after="240"/>
      </w:pPr>
      <w:r>
        <w:rPr>
          <w:b/>
          <w:bCs/>
        </w:rPr>
        <w:t>Chart 4: Year-on-Year Growth Heatmap (Plotly)</w:t>
      </w:r>
      <w:r>
        <w:t xml:space="preserve"> A heatmap with years on the Y-axis and energy sources on the X-axis. Green cells represent high growth, white represents flat, and blue represents decline. Solar is consistently green; Oil &amp; Gas shows repeated blue bands; Coal is mostly flat neutral.</w:t>
      </w:r>
    </w:p>
    <w:p w14:paraId="0000006F" w14:textId="77777777" w:rsidR="00612433" w:rsidRDefault="00000000">
      <w:pPr>
        <w:spacing w:before="240" w:after="240"/>
      </w:pPr>
      <w:r>
        <w:rPr>
          <w:b/>
          <w:bCs/>
        </w:rPr>
        <w:t>Chart 5: Radial RE Share Chart (Matplotlib polar bar)</w:t>
      </w:r>
      <w:r>
        <w:t xml:space="preserve"> A polar bar chart where each bar represents one fiscal year's RE share percentage. Bars extend outward as RE% grows, making the gradual increase visually intuitive. Years and values are annotated directly on each bar.</w:t>
      </w:r>
    </w:p>
    <w:p w14:paraId="00000070" w14:textId="77777777" w:rsidR="00612433" w:rsidRDefault="00000000">
      <w:pPr>
        <w:pStyle w:val="Heading3"/>
        <w:keepNext w:val="0"/>
        <w:keepLines w:val="0"/>
        <w:spacing w:before="280"/>
        <w:rPr>
          <w:b/>
          <w:bCs/>
          <w:color w:val="000000"/>
          <w:sz w:val="26"/>
          <w:szCs w:val="26"/>
        </w:rPr>
      </w:pPr>
      <w:bookmarkStart w:id="24" w:name="_jo23sz73dtwm" w:colFirst="0" w:colLast="0"/>
      <w:bookmarkEnd w:id="24"/>
      <w:r>
        <w:rPr>
          <w:b/>
          <w:bCs/>
          <w:color w:val="000000"/>
          <w:sz w:val="26"/>
          <w:szCs w:val="26"/>
        </w:rPr>
        <w:t>Page 3 — Prediction Model (3_Prediction.py)</w:t>
      </w:r>
    </w:p>
    <w:p w14:paraId="00000071" w14:textId="77777777" w:rsidR="00612433" w:rsidRDefault="00000000">
      <w:pPr>
        <w:spacing w:before="240" w:after="240"/>
      </w:pPr>
      <w:r>
        <w:rPr>
          <w:b/>
          <w:bCs/>
        </w:rPr>
        <w:t>Interactive Inputs:</w:t>
      </w:r>
      <w:r>
        <w:t xml:space="preserve"> Five sliders — Target Year (2026–2035), Solar (GW), Wind (GW), Hydro (GW), Biomass (GW).</w:t>
      </w:r>
    </w:p>
    <w:p w14:paraId="00000072" w14:textId="77777777" w:rsidR="00612433" w:rsidRDefault="00000000">
      <w:pPr>
        <w:spacing w:before="240" w:after="240"/>
      </w:pPr>
      <w:r>
        <w:rPr>
          <w:b/>
          <w:bCs/>
        </w:rPr>
        <w:t>KPI Output Row:</w:t>
      </w:r>
      <w:r>
        <w:t xml:space="preserve"> Six metric cards — Predicted Demand (BU), RE Generation (BU), RE Share (%), Non-RE Generation (BU), Demand Model R², Demand Slope (BU/yr).</w:t>
      </w:r>
    </w:p>
    <w:p w14:paraId="00000073" w14:textId="77777777" w:rsidR="00612433" w:rsidRDefault="00000000">
      <w:pPr>
        <w:spacing w:before="240" w:after="240"/>
      </w:pPr>
      <w:r>
        <w:rPr>
          <w:b/>
          <w:bCs/>
        </w:rPr>
        <w:t>Projected CUF Cards:</w:t>
      </w:r>
      <w:r>
        <w:t xml:space="preserve"> Four color-coded cards (one per source) showing the estimated CUF for the target year and the BU generated from that source.</w:t>
      </w:r>
    </w:p>
    <w:p w14:paraId="00000074" w14:textId="77777777" w:rsidR="00612433" w:rsidRDefault="00000000">
      <w:pPr>
        <w:spacing w:before="240" w:after="240"/>
      </w:pPr>
      <w:r>
        <w:rPr>
          <w:b/>
          <w:bCs/>
        </w:rPr>
        <w:t>Tab 1 — Forecast Charts:</w:t>
      </w:r>
      <w:r>
        <w:t xml:space="preserve"> A main line chart (historical + regression demand line + projected RE generation + prediction star marker) and a generation mix donut chart for the target year, plus a stacked bar breakdown.</w:t>
      </w:r>
    </w:p>
    <w:p w14:paraId="00000075" w14:textId="77777777" w:rsidR="00612433" w:rsidRDefault="00000000">
      <w:pPr>
        <w:spacing w:before="240" w:after="240"/>
      </w:pPr>
      <w:r>
        <w:rPr>
          <w:b/>
          <w:bCs/>
        </w:rPr>
        <w:t>Tab 2 — CUF Trends:</w:t>
      </w:r>
      <w:r>
        <w:t xml:space="preserve"> Four individual </w:t>
      </w:r>
      <w:proofErr w:type="spellStart"/>
      <w:r>
        <w:t>scatter+line</w:t>
      </w:r>
      <w:proofErr w:type="spellEnd"/>
      <w:r>
        <w:t xml:space="preserve"> charts per source showing actual CUF history, regression trend line, floor/cap bounds, and the projected CUF value for the selected year. R² and slope displayed in each chart title.</w:t>
      </w:r>
    </w:p>
    <w:p w14:paraId="00000076" w14:textId="77777777" w:rsidR="00612433" w:rsidRDefault="00000000">
      <w:pPr>
        <w:spacing w:before="240" w:after="240"/>
      </w:pPr>
      <w:r>
        <w:rPr>
          <w:b/>
          <w:bCs/>
        </w:rPr>
        <w:t>Tab 3 — Historical Data:</w:t>
      </w:r>
      <w:r>
        <w:t xml:space="preserve"> Full interactive </w:t>
      </w:r>
      <w:proofErr w:type="spellStart"/>
      <w:r>
        <w:t>dataframe</w:t>
      </w:r>
      <w:proofErr w:type="spellEnd"/>
      <w:r>
        <w:t xml:space="preserve"> of generation, CUF per source, RE total, and RE share per fiscal year.</w:t>
      </w:r>
    </w:p>
    <w:p w14:paraId="00000077" w14:textId="77777777" w:rsidR="00612433" w:rsidRDefault="00000000">
      <w:r>
        <w:lastRenderedPageBreak/>
        <w:pict w14:anchorId="689EBE11">
          <v:rect id="_x0000_i1032" style="width:0;height:1.5pt" o:hralign="center" o:hrstd="t" o:hr="t" fillcolor="#a0a0a0" stroked="f"/>
        </w:pict>
      </w:r>
    </w:p>
    <w:p w14:paraId="00000078" w14:textId="77777777" w:rsidR="00612433" w:rsidRDefault="00000000">
      <w:pPr>
        <w:pStyle w:val="Heading2"/>
        <w:keepNext w:val="0"/>
        <w:keepLines w:val="0"/>
        <w:spacing w:after="80"/>
        <w:rPr>
          <w:b/>
          <w:bCs/>
          <w:sz w:val="34"/>
          <w:szCs w:val="34"/>
        </w:rPr>
      </w:pPr>
      <w:bookmarkStart w:id="25" w:name="_2uaewnmq9tw" w:colFirst="0" w:colLast="0"/>
      <w:bookmarkEnd w:id="25"/>
      <w:r>
        <w:rPr>
          <w:b/>
          <w:bCs/>
          <w:sz w:val="34"/>
          <w:szCs w:val="34"/>
        </w:rPr>
        <w:t xml:space="preserve">7. Basic Model Building </w:t>
      </w:r>
    </w:p>
    <w:p w14:paraId="00000079" w14:textId="77777777" w:rsidR="00612433" w:rsidRDefault="00000000">
      <w:pPr>
        <w:pStyle w:val="Heading3"/>
        <w:keepNext w:val="0"/>
        <w:keepLines w:val="0"/>
        <w:spacing w:before="280"/>
        <w:rPr>
          <w:b/>
          <w:bCs/>
          <w:color w:val="000000"/>
          <w:sz w:val="26"/>
          <w:szCs w:val="26"/>
        </w:rPr>
      </w:pPr>
      <w:bookmarkStart w:id="26" w:name="_cbmhzfr1lpd2" w:colFirst="0" w:colLast="0"/>
      <w:bookmarkEnd w:id="26"/>
      <w:r>
        <w:rPr>
          <w:b/>
          <w:bCs/>
          <w:color w:val="000000"/>
          <w:sz w:val="26"/>
          <w:szCs w:val="26"/>
        </w:rPr>
        <w:t>7.1 Demand Regression Model</w:t>
      </w:r>
    </w:p>
    <w:p w14:paraId="0000007A" w14:textId="77777777" w:rsidR="00612433" w:rsidRDefault="00000000">
      <w:pPr>
        <w:spacing w:before="240" w:after="240"/>
      </w:pPr>
      <w:r>
        <w:t>Total electricity demand (BU) is modeled as a linear function of the calendar year using Ordinary Least Squares regression from scikit-learn:</w:t>
      </w:r>
    </w:p>
    <w:p w14:paraId="0000007B" w14:textId="77777777" w:rsidR="00612433" w:rsidRDefault="00000000">
      <w:pPr>
        <w:spacing w:before="240" w:after="240"/>
      </w:pPr>
      <w:r>
        <w:t xml:space="preserve">where </w:t>
      </w:r>
      <w:r>
        <w:rPr>
          <w:rFonts w:ascii="Roboto Mono" w:eastAsia="Roboto Mono" w:hAnsi="Roboto Mono" w:cs="Roboto Mono"/>
          <w:color w:val="188038"/>
        </w:rPr>
        <w:t>X</w:t>
      </w:r>
      <w:r>
        <w:t xml:space="preserve"> is the year column. The fitted model produces a slope (BU added per year) and an intercept. Both R² and RMSE are computed and displayed on the dashboard. The model is trained on 11 years of actual generation totals (2015–2025).</w:t>
      </w:r>
    </w:p>
    <w:p w14:paraId="0000007C" w14:textId="77777777" w:rsidR="00612433" w:rsidRDefault="00000000">
      <w:pPr>
        <w:pStyle w:val="Heading3"/>
        <w:keepNext w:val="0"/>
        <w:keepLines w:val="0"/>
        <w:spacing w:before="280"/>
        <w:rPr>
          <w:b/>
          <w:bCs/>
          <w:color w:val="000000"/>
          <w:sz w:val="26"/>
          <w:szCs w:val="26"/>
        </w:rPr>
      </w:pPr>
      <w:bookmarkStart w:id="27" w:name="_u9cewu36ts21" w:colFirst="0" w:colLast="0"/>
      <w:bookmarkEnd w:id="27"/>
      <w:r>
        <w:rPr>
          <w:b/>
          <w:bCs/>
          <w:color w:val="000000"/>
          <w:sz w:val="26"/>
          <w:szCs w:val="26"/>
        </w:rPr>
        <w:t>7.2 CUF Trend Models</w:t>
      </w:r>
    </w:p>
    <w:p w14:paraId="0000007D" w14:textId="77777777" w:rsidR="00612433" w:rsidRDefault="00000000">
      <w:pPr>
        <w:spacing w:before="240" w:after="240"/>
      </w:pPr>
      <w:r>
        <w:t>Four separate linear regression models are built — one each for Solar, Wind, Large Hydro, and Biomass:</w:t>
      </w:r>
    </w:p>
    <w:p w14:paraId="0000007E" w14:textId="77777777" w:rsidR="00612433" w:rsidRDefault="00612433"/>
    <w:p w14:paraId="0000007F" w14:textId="77777777" w:rsidR="00612433" w:rsidRDefault="00000000">
      <w:pPr>
        <w:spacing w:before="240" w:after="240"/>
      </w:pPr>
      <w:r>
        <w:t>Each model projects how the CUF of that source will evolve. Projections are clipped within physically meaningful bounds to prevent unrealistic extrapolation.</w:t>
      </w:r>
    </w:p>
    <w:p w14:paraId="00000080" w14:textId="77777777" w:rsidR="00612433" w:rsidRDefault="00000000">
      <w:pPr>
        <w:pStyle w:val="Heading3"/>
        <w:keepNext w:val="0"/>
        <w:keepLines w:val="0"/>
        <w:spacing w:before="280"/>
        <w:rPr>
          <w:b/>
          <w:bCs/>
          <w:color w:val="000000"/>
          <w:sz w:val="26"/>
          <w:szCs w:val="26"/>
        </w:rPr>
      </w:pPr>
      <w:bookmarkStart w:id="28" w:name="_v063xhhwh72t" w:colFirst="0" w:colLast="0"/>
      <w:bookmarkEnd w:id="28"/>
      <w:r>
        <w:rPr>
          <w:b/>
          <w:bCs/>
          <w:color w:val="000000"/>
          <w:sz w:val="26"/>
          <w:szCs w:val="26"/>
        </w:rPr>
        <w:t>7.3 Prediction Function</w:t>
      </w:r>
    </w:p>
    <w:p w14:paraId="00000081" w14:textId="77777777" w:rsidR="00612433" w:rsidRDefault="00000000">
      <w:pPr>
        <w:spacing w:before="240" w:after="240"/>
      </w:pPr>
      <w:r>
        <w:t xml:space="preserve">The </w:t>
      </w:r>
      <w:proofErr w:type="gramStart"/>
      <w:r>
        <w:rPr>
          <w:rFonts w:ascii="Roboto Mono" w:eastAsia="Roboto Mono" w:hAnsi="Roboto Mono" w:cs="Roboto Mono"/>
          <w:color w:val="188038"/>
        </w:rPr>
        <w:t>predict(</w:t>
      </w:r>
      <w:proofErr w:type="gramEnd"/>
      <w:r>
        <w:rPr>
          <w:rFonts w:ascii="Roboto Mono" w:eastAsia="Roboto Mono" w:hAnsi="Roboto Mono" w:cs="Roboto Mono"/>
          <w:color w:val="188038"/>
        </w:rPr>
        <w:t>)</w:t>
      </w:r>
      <w:r>
        <w:t xml:space="preserve"> function combines demand forecast and CUF projections to compute generation from any user-specified capacity scenario:</w:t>
      </w:r>
    </w:p>
    <w:p w14:paraId="00000082" w14:textId="77777777" w:rsidR="00612433" w:rsidRDefault="00612433"/>
    <w:p w14:paraId="00000083" w14:textId="77777777" w:rsidR="00612433" w:rsidRDefault="00000000">
      <w:pPr>
        <w:pStyle w:val="Heading3"/>
        <w:keepNext w:val="0"/>
        <w:keepLines w:val="0"/>
        <w:spacing w:before="280"/>
        <w:rPr>
          <w:b/>
          <w:bCs/>
          <w:color w:val="000000"/>
          <w:sz w:val="26"/>
          <w:szCs w:val="26"/>
        </w:rPr>
      </w:pPr>
      <w:bookmarkStart w:id="29" w:name="_80946f3muek" w:colFirst="0" w:colLast="0"/>
      <w:bookmarkEnd w:id="29"/>
      <w:r>
        <w:rPr>
          <w:b/>
          <w:bCs/>
          <w:color w:val="000000"/>
          <w:sz w:val="26"/>
          <w:szCs w:val="26"/>
        </w:rPr>
        <w:t>7.4 Model Evaluation</w:t>
      </w:r>
    </w:p>
    <w:p w14:paraId="00000084" w14:textId="77777777" w:rsidR="00612433" w:rsidRDefault="00000000">
      <w:pPr>
        <w:spacing w:before="240" w:after="240"/>
      </w:pPr>
      <w:r>
        <w:t xml:space="preserve">All five regression models are evaluated using </w:t>
      </w:r>
      <w:r>
        <w:rPr>
          <w:rFonts w:ascii="Roboto Mono" w:eastAsia="Roboto Mono" w:hAnsi="Roboto Mono" w:cs="Roboto Mono"/>
          <w:color w:val="188038"/>
        </w:rPr>
        <w:t>r2_score</w:t>
      </w:r>
      <w:r>
        <w:t xml:space="preserve"> and </w:t>
      </w:r>
      <w:proofErr w:type="spellStart"/>
      <w:r>
        <w:rPr>
          <w:rFonts w:ascii="Roboto Mono" w:eastAsia="Roboto Mono" w:hAnsi="Roboto Mono" w:cs="Roboto Mono"/>
          <w:color w:val="188038"/>
        </w:rPr>
        <w:t>mean_squared_error</w:t>
      </w:r>
      <w:proofErr w:type="spellEnd"/>
      <w:r>
        <w:t xml:space="preserve"> from </w:t>
      </w:r>
      <w:proofErr w:type="spellStart"/>
      <w:proofErr w:type="gramStart"/>
      <w:r>
        <w:rPr>
          <w:rFonts w:ascii="Roboto Mono" w:eastAsia="Roboto Mono" w:hAnsi="Roboto Mono" w:cs="Roboto Mono"/>
          <w:color w:val="188038"/>
        </w:rPr>
        <w:t>sklearn.metrics</w:t>
      </w:r>
      <w:proofErr w:type="spellEnd"/>
      <w:proofErr w:type="gramEnd"/>
      <w:r>
        <w:t>. R², RMSE, and slope values for every model are fully accessible in the Model Statistics tab of the dashboard. The demand model's R² is also prominently displayed in the main KPI row.</w:t>
      </w:r>
    </w:p>
    <w:p w14:paraId="00000085" w14:textId="77777777" w:rsidR="00612433" w:rsidRDefault="00000000">
      <w:r>
        <w:pict w14:anchorId="688038EF">
          <v:rect id="_x0000_i1033" style="width:0;height:1.5pt" o:hralign="center" o:hrstd="t" o:hr="t" fillcolor="#a0a0a0" stroked="f"/>
        </w:pict>
      </w:r>
    </w:p>
    <w:p w14:paraId="00000086" w14:textId="77777777" w:rsidR="00612433" w:rsidRDefault="00000000">
      <w:pPr>
        <w:pStyle w:val="Heading2"/>
        <w:keepNext w:val="0"/>
        <w:keepLines w:val="0"/>
        <w:spacing w:after="80"/>
        <w:rPr>
          <w:b/>
          <w:bCs/>
          <w:sz w:val="34"/>
          <w:szCs w:val="34"/>
        </w:rPr>
      </w:pPr>
      <w:bookmarkStart w:id="30" w:name="_lwhuo3yylf2r" w:colFirst="0" w:colLast="0"/>
      <w:bookmarkEnd w:id="30"/>
      <w:r>
        <w:rPr>
          <w:b/>
          <w:bCs/>
          <w:sz w:val="34"/>
          <w:szCs w:val="34"/>
        </w:rPr>
        <w:t>8. Key Findings and Insights</w:t>
      </w:r>
    </w:p>
    <w:p w14:paraId="00000087" w14:textId="77777777" w:rsidR="00612433" w:rsidRDefault="00000000">
      <w:pPr>
        <w:spacing w:before="240" w:after="240"/>
      </w:pPr>
      <w:r>
        <w:rPr>
          <w:b/>
          <w:bCs/>
        </w:rPr>
        <w:t>Finding 1 — The Solar Surge</w:t>
      </w:r>
      <w:r>
        <w:t xml:space="preserve"> Solar power is the undisputed engine of India's renewable energy transition. It grew 53× from 2014 to 2026. From 2021 onward, the slope of total </w:t>
      </w:r>
      <w:r>
        <w:lastRenderedPageBreak/>
        <w:t xml:space="preserve">renewable capacity addition is essentially identical to </w:t>
      </w:r>
      <w:proofErr w:type="spellStart"/>
      <w:r>
        <w:t>solar's</w:t>
      </w:r>
      <w:proofErr w:type="spellEnd"/>
      <w:r>
        <w:t xml:space="preserve"> slope — solar is responsible for virtually all new capacity. The primary driver is cost: solar tariffs fell sharply after 2018, below wind tariffs, leading to higher auction wins and faster deployment.</w:t>
      </w:r>
    </w:p>
    <w:p w14:paraId="00000088" w14:textId="77777777" w:rsidR="00612433" w:rsidRDefault="00000000">
      <w:pPr>
        <w:spacing w:before="240" w:after="240"/>
      </w:pPr>
      <w:r>
        <w:rPr>
          <w:b/>
          <w:bCs/>
        </w:rPr>
        <w:t>Finding 2 — The Ambition-Utilization Gap</w:t>
      </w:r>
      <w:r>
        <w:t xml:space="preserve"> Actual renewable generation is consistently and significantly lower than the theoretical maximum computed from installed capacity. Intermittency, seasonal variability, grid absorption limits, and curtailment all contribute. This means the challenge of the energy transition is not just about building capacity, but about storing and dispatching it efficiently.</w:t>
      </w:r>
    </w:p>
    <w:p w14:paraId="00000089" w14:textId="77777777" w:rsidR="00612433" w:rsidRDefault="00000000">
      <w:pPr>
        <w:spacing w:before="240" w:after="240"/>
      </w:pPr>
      <w:r>
        <w:rPr>
          <w:b/>
          <w:bCs/>
        </w:rPr>
        <w:t>Finding 3 — The Coal Paradox</w:t>
      </w:r>
      <w:r>
        <w:t xml:space="preserve"> Despite rapid renewable growth, coal's absolute generation has not declined. India's electricity demand is rising so fast that both renewables and coal grow simultaneously. The RE share (%) is improving — from ~18% to ~25% — but in absolute terms, non-renewable generation keeps climbing. The real transition milestone will occur when renewable growth exceeds demand growth, which the prediction model can be used to estimate.</w:t>
      </w:r>
    </w:p>
    <w:p w14:paraId="0000008A" w14:textId="77777777" w:rsidR="00612433" w:rsidRDefault="00000000">
      <w:pPr>
        <w:spacing w:before="240" w:after="240"/>
      </w:pPr>
      <w:r>
        <w:rPr>
          <w:b/>
          <w:bCs/>
        </w:rPr>
        <w:t>Finding 4 — Geographic Concentration</w:t>
      </w:r>
      <w:r>
        <w:t xml:space="preserve"> Five states — Gujarat, Rajasthan, Tamil Nadu, Karnataka, and Maharashtra — account for the vast majority of India's renewable installed capacity. Smaller and northeastern states contribute negligibly. India's energy transition is spatially uneven, driven by natural resource endowments and early policy advantage.</w:t>
      </w:r>
    </w:p>
    <w:p w14:paraId="0000008B" w14:textId="77777777" w:rsidR="00612433" w:rsidRDefault="00000000">
      <w:pPr>
        <w:spacing w:before="240" w:after="240"/>
      </w:pPr>
      <w:r>
        <w:rPr>
          <w:b/>
          <w:bCs/>
        </w:rPr>
        <w:t>Finding 5 — Source-level Divergence</w:t>
      </w:r>
      <w:r>
        <w:t xml:space="preserve"> Solar is the only source with consistently high and accelerating growth. Wind is linear and constrained by geographic and project-cycle limitations. Large Hydro has essentially plateaued at ~48 GW. Biomass and Small Hydro are minor and erratic contributors.</w:t>
      </w:r>
    </w:p>
    <w:p w14:paraId="0000008C" w14:textId="77777777" w:rsidR="00612433" w:rsidRDefault="00000000">
      <w:r>
        <w:pict w14:anchorId="4486B204">
          <v:rect id="_x0000_i1034" style="width:0;height:1.5pt" o:hralign="center" o:hrstd="t" o:hr="t" fillcolor="#a0a0a0" stroked="f"/>
        </w:pict>
      </w:r>
    </w:p>
    <w:p w14:paraId="0000008D" w14:textId="77777777" w:rsidR="00612433" w:rsidRDefault="00000000">
      <w:pPr>
        <w:pStyle w:val="Heading2"/>
        <w:keepNext w:val="0"/>
        <w:keepLines w:val="0"/>
        <w:spacing w:after="80"/>
        <w:rPr>
          <w:b/>
          <w:bCs/>
          <w:sz w:val="34"/>
          <w:szCs w:val="34"/>
        </w:rPr>
      </w:pPr>
      <w:bookmarkStart w:id="31" w:name="_tb1e7clv687c" w:colFirst="0" w:colLast="0"/>
      <w:bookmarkEnd w:id="31"/>
      <w:r>
        <w:rPr>
          <w:b/>
          <w:bCs/>
          <w:sz w:val="34"/>
          <w:szCs w:val="34"/>
        </w:rPr>
        <w:t>9. Conclusion</w:t>
      </w:r>
    </w:p>
    <w:p w14:paraId="0000008E" w14:textId="77777777" w:rsidR="00612433" w:rsidRDefault="00000000">
      <w:pPr>
        <w:spacing w:before="240" w:after="240"/>
      </w:pPr>
      <w:r>
        <w:rPr>
          <w:rFonts w:ascii="Courier New" w:eastAsia="Courier New" w:hAnsi="Courier New" w:cs="Courier New"/>
          <w:b/>
          <w:bCs/>
          <w:color w:val="CE9178"/>
          <w:sz w:val="21"/>
          <w:szCs w:val="21"/>
        </w:rPr>
        <w:t>India’s Electricity Transition</w:t>
      </w:r>
      <w:r>
        <w:t xml:space="preserve"> demonstrates the complete data analytics workflow applied to a real-world, policy-relevant problem. Starting from raw government publications, the project covers data collection, cleaning, exploratory analysis, interactive dashboarding, and predictive modeling — all within a cohesive </w:t>
      </w:r>
      <w:proofErr w:type="spellStart"/>
      <w:r>
        <w:t>Streamlit</w:t>
      </w:r>
      <w:proofErr w:type="spellEnd"/>
      <w:r>
        <w:t xml:space="preserve"> application.</w:t>
      </w:r>
    </w:p>
    <w:p w14:paraId="0000008F" w14:textId="77777777" w:rsidR="00612433" w:rsidRDefault="00000000">
      <w:pPr>
        <w:spacing w:before="240" w:after="240"/>
      </w:pPr>
      <w:r>
        <w:t>The analysis confirms that India's energy transition is real and accelerating, led by solar energy. However, it is a diversification, not yet a replacement of fossil fuels. The absolute volume of coal-based generation has not declined, and a significant efficiency gap persists between installed renewable capacity and actual energy delivered.</w:t>
      </w:r>
    </w:p>
    <w:p w14:paraId="00000090" w14:textId="77777777" w:rsidR="00612433" w:rsidRDefault="00000000">
      <w:pPr>
        <w:spacing w:before="240" w:after="240"/>
      </w:pPr>
      <w:r>
        <w:t xml:space="preserve">The predictive model provides a practical scenario-exploration tool. For India to meet its target of 500 GW non-fossil capacity by 2030, solar capacity would need to reach approximately 280–350 GW — which the current trajectory makes plausible but not guaranteed without sustained policy support. The data supports a cautiously optimistic view: India is on the right trajectory, but </w:t>
      </w:r>
      <w:r>
        <w:lastRenderedPageBreak/>
        <w:t>the real challenge has shifted from simply building renewable capacity to optimizing, storing, and efficiently transmitting it.</w:t>
      </w:r>
    </w:p>
    <w:p w14:paraId="00000091" w14:textId="77777777" w:rsidR="00612433" w:rsidRDefault="00000000">
      <w:r>
        <w:pict w14:anchorId="1215B462">
          <v:rect id="_x0000_i1035" style="width:0;height:1.5pt" o:hralign="center" o:hrstd="t" o:hr="t" fillcolor="#a0a0a0" stroked="f"/>
        </w:pict>
      </w:r>
    </w:p>
    <w:p w14:paraId="00000092" w14:textId="77777777" w:rsidR="00612433" w:rsidRDefault="00000000">
      <w:pPr>
        <w:pStyle w:val="Heading2"/>
        <w:keepNext w:val="0"/>
        <w:keepLines w:val="0"/>
        <w:spacing w:after="80"/>
        <w:rPr>
          <w:b/>
          <w:bCs/>
          <w:sz w:val="34"/>
          <w:szCs w:val="34"/>
        </w:rPr>
      </w:pPr>
      <w:bookmarkStart w:id="32" w:name="_jjrp7kcqdatv" w:colFirst="0" w:colLast="0"/>
      <w:bookmarkEnd w:id="32"/>
      <w:r>
        <w:rPr>
          <w:b/>
          <w:bCs/>
          <w:sz w:val="34"/>
          <w:szCs w:val="34"/>
        </w:rPr>
        <w:t>10. References</w:t>
      </w:r>
    </w:p>
    <w:p w14:paraId="00000093" w14:textId="77777777" w:rsidR="00612433" w:rsidRDefault="00000000">
      <w:pPr>
        <w:numPr>
          <w:ilvl w:val="0"/>
          <w:numId w:val="9"/>
        </w:numPr>
        <w:spacing w:before="240"/>
      </w:pPr>
      <w:r>
        <w:t xml:space="preserve">Ministry of New and Renewable Energy (MNRE). (2025). </w:t>
      </w:r>
      <w:r>
        <w:rPr>
          <w:i/>
          <w:iCs/>
        </w:rPr>
        <w:t>Annual Report 2024-25</w:t>
      </w:r>
      <w:r>
        <w:t>. Government of India. https://mnre.gov.in</w:t>
      </w:r>
    </w:p>
    <w:p w14:paraId="00000094" w14:textId="77777777" w:rsidR="00612433" w:rsidRDefault="00000000">
      <w:pPr>
        <w:numPr>
          <w:ilvl w:val="0"/>
          <w:numId w:val="9"/>
        </w:numPr>
      </w:pPr>
      <w:r>
        <w:t xml:space="preserve">Central Electricity Authority (CEA). (2025). </w:t>
      </w:r>
      <w:r>
        <w:rPr>
          <w:i/>
          <w:iCs/>
        </w:rPr>
        <w:t>Growth of Electricity Sector in India from 1947–2025</w:t>
      </w:r>
      <w:r>
        <w:t xml:space="preserve">. Ministry of Power, Government of India. https://cea.nic.in </w:t>
      </w:r>
    </w:p>
    <w:p w14:paraId="00000095" w14:textId="77777777" w:rsidR="00612433" w:rsidRDefault="00000000">
      <w:pPr>
        <w:numPr>
          <w:ilvl w:val="0"/>
          <w:numId w:val="9"/>
        </w:numPr>
      </w:pPr>
      <w:r>
        <w:t xml:space="preserve">Ministry of New and Renewable Energy (MNRE) (2025). </w:t>
      </w:r>
      <w:r>
        <w:rPr>
          <w:i/>
          <w:iCs/>
        </w:rPr>
        <w:t>State-wise RE Installed Capacity</w:t>
      </w:r>
      <w:r>
        <w:t>. Ministry of Power, Government of India.  https://mnre.gov.in</w:t>
      </w:r>
    </w:p>
    <w:p w14:paraId="00000096" w14:textId="77777777" w:rsidR="00612433" w:rsidRDefault="00000000">
      <w:pPr>
        <w:numPr>
          <w:ilvl w:val="0"/>
          <w:numId w:val="9"/>
        </w:numPr>
      </w:pPr>
      <w:r>
        <w:t>NITI Aayog https://iced.niti.gov.in</w:t>
      </w:r>
    </w:p>
    <w:p w14:paraId="00000097" w14:textId="77777777" w:rsidR="00612433" w:rsidRDefault="00000000">
      <w:pPr>
        <w:numPr>
          <w:ilvl w:val="0"/>
          <w:numId w:val="9"/>
        </w:numPr>
        <w:spacing w:after="240"/>
      </w:pPr>
      <w:r>
        <w:rPr>
          <w:sz w:val="21"/>
          <w:szCs w:val="21"/>
          <w:highlight w:val="white"/>
        </w:rPr>
        <w:t>Reports of review of hydro-power performance https://cea.nic.in</w:t>
      </w:r>
    </w:p>
    <w:p w14:paraId="00000098" w14:textId="77777777" w:rsidR="00612433" w:rsidRDefault="00612433"/>
    <w:sectPr w:rsidR="0061243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9A2AF60B-0701-4C28-9897-92C4D9DB5969}"/>
  </w:font>
  <w:font w:name="Calibri">
    <w:panose1 w:val="020F0502020204030204"/>
    <w:charset w:val="00"/>
    <w:family w:val="swiss"/>
    <w:pitch w:val="variable"/>
    <w:sig w:usb0="E4002EFF" w:usb1="C200247B" w:usb2="00000009" w:usb3="00000000" w:csb0="000001FF" w:csb1="00000000"/>
    <w:embedRegular r:id="rId2" w:fontKey="{1E9B9887-D501-4BC1-B3B3-BAC6DBC7B2DE}"/>
  </w:font>
  <w:font w:name="Cambria">
    <w:panose1 w:val="02040503050406030204"/>
    <w:charset w:val="00"/>
    <w:family w:val="roman"/>
    <w:pitch w:val="variable"/>
    <w:sig w:usb0="E00006FF" w:usb1="420024FF" w:usb2="02000000" w:usb3="00000000" w:csb0="0000019F" w:csb1="00000000"/>
    <w:embedRegular r:id="rId3" w:fontKey="{02CE917B-C71F-45AB-99D1-38BDED54FF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2D6"/>
    <w:multiLevelType w:val="multilevel"/>
    <w:tmpl w:val="2B9E9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5011E"/>
    <w:multiLevelType w:val="multilevel"/>
    <w:tmpl w:val="EEE66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A35220"/>
    <w:multiLevelType w:val="multilevel"/>
    <w:tmpl w:val="C15C7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CC4C6C"/>
    <w:multiLevelType w:val="multilevel"/>
    <w:tmpl w:val="985C8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383DBD"/>
    <w:multiLevelType w:val="multilevel"/>
    <w:tmpl w:val="79E83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145A9E"/>
    <w:multiLevelType w:val="multilevel"/>
    <w:tmpl w:val="4A5AC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207FD2"/>
    <w:multiLevelType w:val="multilevel"/>
    <w:tmpl w:val="F3269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A563EB"/>
    <w:multiLevelType w:val="hybridMultilevel"/>
    <w:tmpl w:val="6CF68B00"/>
    <w:lvl w:ilvl="0" w:tplc="0D3E83F2">
      <w:start w:val="5"/>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A97EFA"/>
    <w:multiLevelType w:val="multilevel"/>
    <w:tmpl w:val="26EA5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E43E1F"/>
    <w:multiLevelType w:val="multilevel"/>
    <w:tmpl w:val="B51EB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8574687">
    <w:abstractNumId w:val="3"/>
  </w:num>
  <w:num w:numId="2" w16cid:durableId="1049691770">
    <w:abstractNumId w:val="9"/>
  </w:num>
  <w:num w:numId="3" w16cid:durableId="1561819502">
    <w:abstractNumId w:val="6"/>
  </w:num>
  <w:num w:numId="4" w16cid:durableId="303395188">
    <w:abstractNumId w:val="4"/>
  </w:num>
  <w:num w:numId="5" w16cid:durableId="759570809">
    <w:abstractNumId w:val="8"/>
  </w:num>
  <w:num w:numId="6" w16cid:durableId="158082074">
    <w:abstractNumId w:val="2"/>
  </w:num>
  <w:num w:numId="7" w16cid:durableId="1025012179">
    <w:abstractNumId w:val="5"/>
  </w:num>
  <w:num w:numId="8" w16cid:durableId="2093816866">
    <w:abstractNumId w:val="0"/>
  </w:num>
  <w:num w:numId="9" w16cid:durableId="1767382274">
    <w:abstractNumId w:val="1"/>
  </w:num>
  <w:num w:numId="10" w16cid:durableId="1866551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433"/>
    <w:rsid w:val="001D0DC9"/>
    <w:rsid w:val="005B4AD7"/>
    <w:rsid w:val="00612433"/>
    <w:rsid w:val="00B6246E"/>
    <w:rsid w:val="00E2233A"/>
    <w:rsid w:val="00ED08D3"/>
    <w:rsid w:val="00FC3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7E57"/>
  <w15:docId w15:val="{0697E1C0-905B-4682-875B-549455BA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B4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1</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Dange</cp:lastModifiedBy>
  <cp:revision>3</cp:revision>
  <dcterms:created xsi:type="dcterms:W3CDTF">2026-04-26T16:25:00Z</dcterms:created>
  <dcterms:modified xsi:type="dcterms:W3CDTF">2026-04-26T22:43:00Z</dcterms:modified>
</cp:coreProperties>
</file>