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54982"/>
          <w:sz w:val="68"/>
        </w:rPr>
        <w:t>DATASLEUTH</w:t>
      </w:r>
    </w:p>
    <w:p>
      <w:pPr>
        <w:jc w:val="center"/>
      </w:pPr>
      <w:r>
        <w:rPr>
          <w:color w:val="576376"/>
          <w:sz w:val="34"/>
        </w:rPr>
        <w:t>Interactive Data Quality Investigator</w:t>
      </w:r>
    </w:p>
    <w:p>
      <w:pPr>
        <w:spacing w:before="500"/>
        <w:jc w:val="center"/>
      </w:pPr>
      <w:r>
        <w:rPr>
          <w:b/>
        </w:rPr>
        <w:t>Project Understanding and Technical Report</w:t>
      </w:r>
    </w:p>
    <w:p>
      <w:pPr>
        <w:spacing w:before="2400"/>
        <w:jc w:val="center"/>
      </w:pPr>
      <w:r>
        <w:rPr>
          <w:color w:val="646E7D"/>
          <w:sz w:val="20"/>
        </w:rPr>
        <w:t>Purpose • Architecture • Cleaning Logic • Visualisation • Data Structures</w:t>
      </w:r>
    </w:p>
    <w:p>
      <w:r>
        <w:br w:type="page"/>
      </w:r>
    </w:p>
    <w:p>
      <w:pPr>
        <w:pStyle w:val="Heading1"/>
      </w:pPr>
      <w:r>
        <w:t>1. Executive Summary</w:t>
      </w:r>
    </w:p>
    <w:p>
      <w:r>
        <w:t>DataSleuth is a CSV data-cleaning web application designed to help students and beginner data practitioners identify and correct common data-quality problems without writing cleaning scripts. It provides two workflows: DataSleuth Clean, which generates explainable cleaning proposals, and Manual Clean, which offers a spreadsheet-style editor with highlighted issues, filters, and bulk actions.</w:t>
      </w:r>
    </w:p>
    <w:p>
      <w:r>
        <w:t>A central design principle is that detection and correction are separate. The application first analyses the dataset, then proposes changes. It does not modify the working copy until the user explicitly confirms a proposal. The original uploaded bytes and original DataFrame are preserved so users can compare results or reset the working copy.</w:t>
      </w:r>
    </w:p>
    <w:p>
      <w:r>
        <w:t>Important scope note: the current implementation uses rule-based detection and statistical recommendations. It is not connected to a large language model (LLM) API. The term 'AI-style cleaning' describes the explainable recommendation workflow, not a claim that a generative model is running.</w:t>
      </w:r>
    </w:p>
    <w:p>
      <w:pPr>
        <w:pStyle w:val="Heading1"/>
      </w:pPr>
      <w:r>
        <w:t>2. Problem Statement</w:t>
      </w:r>
    </w:p>
    <w:p>
      <w:r>
        <w:t>Real datasets often contain missing values, inconsistent category spelling, placeholder strings such as 'unknown' or 'unspecified', malformed values, outliers, and duplicate rows. Beginners may not know where these issues occur or how to correct them consistently. Manual corrections can also introduce accidental changes when the same problem appears many times.</w:t>
      </w:r>
    </w:p>
    <w:p>
      <w:pPr>
        <w:pStyle w:val="Heading2"/>
      </w:pPr>
      <w:r>
        <w:t>Proposed Solution</w:t>
      </w:r>
    </w:p>
    <w:p>
      <w:r>
        <w:t>DataSleuth scans a CSV, highlights detected issues, explains why values were flagged, proposes conservative corrections, supports manual spreadsheet-style editing, records approved changes in an audit log, and exports the cleaned dataset.</w:t>
      </w:r>
    </w:p>
    <w:p>
      <w:pPr>
        <w:pStyle w:val="Heading1"/>
      </w:pPr>
      <w:r>
        <w:t>3. Objectives</w:t>
      </w:r>
    </w:p>
    <w:p>
      <w:pPr>
        <w:pStyle w:val="ListBullet"/>
        <w:spacing w:after="60"/>
      </w:pPr>
      <w:r>
        <w:t>Accept a CSV dataset and show a preview before any cleaning is applied.</w:t>
      </w:r>
    </w:p>
    <w:p>
      <w:pPr>
        <w:pStyle w:val="ListBullet"/>
        <w:spacing w:after="60"/>
      </w:pPr>
      <w:r>
        <w:t>Detect missing markers, placeholder-like values, category spelling variants, invalid values, statistical outliers, and exact duplicate records.</w:t>
      </w:r>
    </w:p>
    <w:p>
      <w:pPr>
        <w:pStyle w:val="ListBullet"/>
        <w:spacing w:after="60"/>
      </w:pPr>
      <w:r>
        <w:t>Recommend suitable corrections for cases where the available data supports a reasonable suggestion.</w:t>
      </w:r>
    </w:p>
    <w:p>
      <w:pPr>
        <w:pStyle w:val="ListBullet"/>
        <w:spacing w:after="60"/>
      </w:pPr>
      <w:r>
        <w:t>Allow users to filter and edit data manually, including applying one canonical spelling to an entire variant group.</w:t>
      </w:r>
    </w:p>
    <w:p>
      <w:pPr>
        <w:pStyle w:val="ListBullet"/>
        <w:spacing w:after="60"/>
      </w:pPr>
      <w:r>
        <w:t>Visualise the cleaning process and compare issue counts before and after a simulated proposal.</w:t>
      </w:r>
    </w:p>
    <w:p>
      <w:pPr>
        <w:pStyle w:val="ListBullet"/>
        <w:spacing w:after="60"/>
      </w:pPr>
      <w:r>
        <w:t>Preserve the original data and require explicit confirmation before applying changes.</w:t>
      </w:r>
    </w:p>
    <w:p>
      <w:pPr>
        <w:pStyle w:val="ListBullet"/>
        <w:spacing w:after="60"/>
      </w:pPr>
      <w:r>
        <w:t>Provide downloadable cleaned data, issue reports, and audit logs.</w:t>
      </w:r>
    </w:p>
    <w:p>
      <w:pPr>
        <w:pStyle w:val="ListBullet"/>
        <w:spacing w:after="60"/>
      </w:pPr>
      <w:r>
        <w:t>Demonstrate custom data structures through duplicate detection and issue prioritisation.</w:t>
      </w:r>
    </w:p>
    <w:p>
      <w:pPr>
        <w:pStyle w:val="Heading1"/>
      </w:pPr>
      <w:r>
        <w:t>4. User Workflow</w:t>
      </w:r>
    </w:p>
    <w:p>
      <w:pPr>
        <w:pStyle w:val="ListNumber"/>
        <w:spacing w:after="60"/>
      </w:pPr>
      <w:r>
        <w:t>Upload a CSV file or load the sample dataset.</w:t>
      </w:r>
    </w:p>
    <w:p>
      <w:pPr>
        <w:pStyle w:val="ListNumber"/>
        <w:spacing w:after="60"/>
      </w:pPr>
      <w:r>
        <w:t>Click Process Dataset to run a read-only inspection.</w:t>
      </w:r>
    </w:p>
    <w:p>
      <w:pPr>
        <w:pStyle w:val="ListNumber"/>
        <w:spacing w:after="60"/>
      </w:pPr>
      <w:r>
        <w:t>Review detected issues and choose DataSleuth Clean or Manual Clean.</w:t>
      </w:r>
    </w:p>
    <w:p>
      <w:pPr>
        <w:pStyle w:val="ListNumber"/>
        <w:spacing w:after="60"/>
      </w:pPr>
      <w:r>
        <w:t>In DataSleuth Clean, inspect proposed corrections, explanations, confidence labels, and the simulated effect on issue counts.</w:t>
      </w:r>
    </w:p>
    <w:p>
      <w:pPr>
        <w:pStyle w:val="ListNumber"/>
        <w:spacing w:after="60"/>
      </w:pPr>
      <w:r>
        <w:t>In Manual Clean, filter rows by issue type, edit cells, or prepare a bulk replacement or category-standardisation proposal.</w:t>
      </w:r>
    </w:p>
    <w:p>
      <w:pPr>
        <w:pStyle w:val="ListNumber"/>
        <w:spacing w:after="60"/>
      </w:pPr>
      <w:r>
        <w:t>Preview proposed changes and confirm or cancel them.</w:t>
      </w:r>
    </w:p>
    <w:p>
      <w:pPr>
        <w:pStyle w:val="ListNumber"/>
        <w:spacing w:after="60"/>
      </w:pPr>
      <w:r>
        <w:t>Download the approved working CSV and optionally export the issue report and audit log.</w:t>
      </w:r>
    </w:p>
    <w:p>
      <w:pPr>
        <w:pStyle w:val="Heading1"/>
      </w:pPr>
      <w:r>
        <w:t>5. System Architecture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294B7A"/>
          </w:tcPr>
          <w:p>
            <w:pPr>
              <w:spacing w:after="40"/>
            </w:pPr>
            <w:r/>
            <w:r>
              <w:rPr>
                <w:b/>
                <w:color w:val="FFFFFF"/>
                <w:sz w:val="18"/>
              </w:rPr>
              <w:t>Component</w:t>
            </w:r>
          </w:p>
        </w:tc>
        <w:tc>
          <w:tcPr>
            <w:tcW w:type="dxa" w:w="4968"/>
            <w:vAlign w:val="center"/>
            <w:shd w:fill="294B7A"/>
          </w:tcPr>
          <w:p>
            <w:pPr>
              <w:spacing w:after="40"/>
            </w:pPr>
            <w:r/>
            <w:r>
              <w:rPr>
                <w:b/>
                <w:color w:val="FFFFFF"/>
                <w:sz w:val="18"/>
              </w:rPr>
              <w:t>Responsibility</w:t>
            </w:r>
          </w:p>
        </w:tc>
      </w:tr>
      <w:tr>
        <w:tc>
          <w:tcPr>
            <w:tcW w:type="dxa" w:w="4968"/>
            <w:vAlign w:val="center"/>
          </w:tcPr>
          <w:p>
            <w:pPr>
              <w:spacing w:after="40"/>
            </w:pPr>
            <w:r/>
            <w:r>
              <w:rPr>
                <w:b w:val="0"/>
                <w:sz w:val="18"/>
              </w:rPr>
              <w:t>app.py</w:t>
            </w:r>
          </w:p>
        </w:tc>
        <w:tc>
          <w:tcPr>
            <w:tcW w:type="dxa" w:w="4968"/>
            <w:vAlign w:val="center"/>
          </w:tcPr>
          <w:p>
            <w:pPr>
              <w:spacing w:after="40"/>
            </w:pPr>
            <w:r/>
            <w:r>
              <w:rPr>
                <w:b w:val="0"/>
                <w:sz w:val="18"/>
              </w:rPr>
              <w:t>Streamlit UI, navigation, upload/process interaction, history and pin controls, issue tables, visual explanations, editor, downloads.</w:t>
            </w:r>
          </w:p>
        </w:tc>
      </w:tr>
      <w:tr>
        <w:tc>
          <w:tcPr>
            <w:tcW w:type="dxa" w:w="4968"/>
            <w:vAlign w:val="center"/>
            <w:shd w:fill="F4F7FB"/>
          </w:tcPr>
          <w:p>
            <w:pPr>
              <w:spacing w:after="40"/>
            </w:pPr>
            <w:r/>
            <w:r>
              <w:rPr>
                <w:b w:val="0"/>
                <w:sz w:val="18"/>
              </w:rPr>
              <w:t>detectors.py</w:t>
            </w:r>
          </w:p>
        </w:tc>
        <w:tc>
          <w:tcPr>
            <w:tcW w:type="dxa" w:w="4968"/>
            <w:vAlign w:val="center"/>
            <w:shd w:fill="F4F7FB"/>
          </w:tcPr>
          <w:p>
            <w:pPr>
              <w:spacing w:after="40"/>
            </w:pPr>
            <w:r/>
            <w:r>
              <w:rPr>
                <w:b w:val="0"/>
                <w:sz w:val="18"/>
              </w:rPr>
              <w:t>Read-only data-quality checks, type inference, missing-value recognition, placeholder detection, validation, category-variant detection, duplicate issue creation.</w:t>
            </w:r>
          </w:p>
        </w:tc>
      </w:tr>
      <w:tr>
        <w:tc>
          <w:tcPr>
            <w:tcW w:type="dxa" w:w="4968"/>
            <w:vAlign w:val="center"/>
          </w:tcPr>
          <w:p>
            <w:pPr>
              <w:spacing w:after="40"/>
            </w:pPr>
            <w:r/>
            <w:r>
              <w:rPr>
                <w:b w:val="0"/>
                <w:sz w:val="18"/>
              </w:rPr>
              <w:t>workflow.py</w:t>
            </w:r>
          </w:p>
        </w:tc>
        <w:tc>
          <w:tcPr>
            <w:tcW w:type="dxa" w:w="4968"/>
            <w:vAlign w:val="center"/>
          </w:tcPr>
          <w:p>
            <w:pPr>
              <w:spacing w:after="40"/>
            </w:pPr>
            <w:r/>
            <w:r>
              <w:rPr>
                <w:b w:val="0"/>
                <w:sz w:val="18"/>
              </w:rPr>
              <w:t>Original and working copies, proposal generation, validation, confirmation/cancellation, audit recording, reset and CSV export.</w:t>
            </w:r>
          </w:p>
        </w:tc>
      </w:tr>
      <w:tr>
        <w:tc>
          <w:tcPr>
            <w:tcW w:type="dxa" w:w="4968"/>
            <w:vAlign w:val="center"/>
            <w:shd w:fill="F4F7FB"/>
          </w:tcPr>
          <w:p>
            <w:pPr>
              <w:spacing w:after="40"/>
            </w:pPr>
            <w:r/>
            <w:r>
              <w:rPr>
                <w:b w:val="0"/>
                <w:sz w:val="18"/>
              </w:rPr>
              <w:t>dsa.py</w:t>
            </w:r>
          </w:p>
        </w:tc>
        <w:tc>
          <w:tcPr>
            <w:tcW w:type="dxa" w:w="4968"/>
            <w:vAlign w:val="center"/>
            <w:shd w:fill="F4F7FB"/>
          </w:tcPr>
          <w:p>
            <w:pPr>
              <w:spacing w:after="40"/>
            </w:pPr>
            <w:r/>
            <w:r>
              <w:rPr>
                <w:b w:val="0"/>
                <w:sz w:val="18"/>
              </w:rPr>
              <w:t>Custom separate-chaining hash table for exact duplicate detection and custom binary max-heap for issue priority ordering.</w:t>
            </w:r>
          </w:p>
        </w:tc>
      </w:tr>
      <w:tr>
        <w:tc>
          <w:tcPr>
            <w:tcW w:type="dxa" w:w="4968"/>
            <w:vAlign w:val="center"/>
          </w:tcPr>
          <w:p>
            <w:pPr>
              <w:spacing w:after="40"/>
            </w:pPr>
            <w:r/>
            <w:r>
              <w:rPr>
                <w:b w:val="0"/>
                <w:sz w:val="18"/>
              </w:rPr>
              <w:t>styles.css</w:t>
            </w:r>
          </w:p>
        </w:tc>
        <w:tc>
          <w:tcPr>
            <w:tcW w:type="dxa" w:w="4968"/>
            <w:vAlign w:val="center"/>
          </w:tcPr>
          <w:p>
            <w:pPr>
              <w:spacing w:after="40"/>
            </w:pPr>
            <w:r/>
            <w:r>
              <w:rPr>
                <w:b w:val="0"/>
                <w:sz w:val="18"/>
              </w:rPr>
              <w:t>Dark visual theme, sidebar, workflow cards, spreadsheet workspace, and automatic-cleaning pipeline styles.</w:t>
            </w:r>
          </w:p>
        </w:tc>
      </w:tr>
      <w:tr>
        <w:tc>
          <w:tcPr>
            <w:tcW w:type="dxa" w:w="4968"/>
            <w:vAlign w:val="center"/>
            <w:shd w:fill="F4F7FB"/>
          </w:tcPr>
          <w:p>
            <w:pPr>
              <w:spacing w:after="40"/>
            </w:pPr>
            <w:r/>
            <w:r>
              <w:rPr>
                <w:b w:val="0"/>
                <w:sz w:val="18"/>
              </w:rPr>
              <w:t>Plotly</w:t>
            </w:r>
          </w:p>
        </w:tc>
        <w:tc>
          <w:tcPr>
            <w:tcW w:type="dxa" w:w="4968"/>
            <w:vAlign w:val="center"/>
            <w:shd w:fill="F4F7FB"/>
          </w:tcPr>
          <w:p>
            <w:pPr>
              <w:spacing w:after="40"/>
            </w:pPr>
            <w:r/>
            <w:r>
              <w:rPr>
                <w:b w:val="0"/>
                <w:sz w:val="18"/>
              </w:rPr>
              <w:t>Charts for issue counts, bucket occupancy, numeric distributions, and visual comparisons.</w:t>
            </w:r>
          </w:p>
        </w:tc>
      </w:tr>
      <w:tr>
        <w:tc>
          <w:tcPr>
            <w:tcW w:type="dxa" w:w="4968"/>
            <w:vAlign w:val="center"/>
          </w:tcPr>
          <w:p>
            <w:pPr>
              <w:spacing w:after="40"/>
            </w:pPr>
            <w:r/>
            <w:r>
              <w:rPr>
                <w:b w:val="0"/>
                <w:sz w:val="18"/>
              </w:rPr>
              <w:t>Pandas</w:t>
            </w:r>
          </w:p>
        </w:tc>
        <w:tc>
          <w:tcPr>
            <w:tcW w:type="dxa" w:w="4968"/>
            <w:vAlign w:val="center"/>
          </w:tcPr>
          <w:p>
            <w:pPr>
              <w:spacing w:after="40"/>
            </w:pPr>
            <w:r/>
            <w:r>
              <w:rPr>
                <w:b w:val="0"/>
                <w:sz w:val="18"/>
              </w:rPr>
              <w:t>Tabular CSV representation, column-level processing, editor data, and report/export preparation.</w:t>
            </w:r>
          </w:p>
        </w:tc>
      </w:tr>
    </w:tbl>
    <w:p>
      <w:pPr>
        <w:spacing w:after="20"/>
      </w:pPr>
    </w:p>
    <w:p>
      <w:pPr>
        <w:pStyle w:val="Heading1"/>
      </w:pPr>
      <w:r>
        <w:t>6. DataSleuth Clean: How Recommendations Are Made</w:t>
      </w:r>
    </w:p>
    <w:p>
      <w:r>
        <w:t>The automatic workflow uses observed values, inferred column types, and explicit rules to prepare a proposal. Each proposed cell change records its row, column, original value, proposed value, explanation, and confidence label. A proposal is not applied immediately.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294B7A"/>
          </w:tcPr>
          <w:p>
            <w:pPr>
              <w:spacing w:after="40"/>
            </w:pPr>
            <w:r/>
            <w:r>
              <w:rPr>
                <w:b/>
                <w:color w:val="FFFFFF"/>
                <w:sz w:val="18"/>
              </w:rPr>
              <w:t>Detected case</w:t>
            </w:r>
          </w:p>
        </w:tc>
        <w:tc>
          <w:tcPr>
            <w:tcW w:type="dxa" w:w="3312"/>
            <w:vAlign w:val="center"/>
            <w:shd w:fill="294B7A"/>
          </w:tcPr>
          <w:p>
            <w:pPr>
              <w:spacing w:after="40"/>
            </w:pPr>
            <w:r/>
            <w:r>
              <w:rPr>
                <w:b/>
                <w:color w:val="FFFFFF"/>
                <w:sz w:val="18"/>
              </w:rPr>
              <w:t>Current recommendation</w:t>
            </w:r>
          </w:p>
        </w:tc>
        <w:tc>
          <w:tcPr>
            <w:tcW w:type="dxa" w:w="3312"/>
            <w:vAlign w:val="center"/>
            <w:shd w:fill="294B7A"/>
          </w:tcPr>
          <w:p>
            <w:pPr>
              <w:spacing w:after="40"/>
            </w:pPr>
            <w:r/>
            <w:r>
              <w:rPr>
                <w:b/>
                <w:color w:val="FFFFFF"/>
                <w:sz w:val="18"/>
              </w:rPr>
              <w:t>Why it is handled this way</w:t>
            </w:r>
          </w:p>
        </w:tc>
      </w:tr>
      <w:tr>
        <w:tc>
          <w:tcPr>
            <w:tcW w:type="dxa" w:w="3312"/>
            <w:vAlign w:val="center"/>
          </w:tcPr>
          <w:p>
            <w:pPr>
              <w:spacing w:after="40"/>
            </w:pPr>
            <w:r/>
            <w:r>
              <w:rPr>
                <w:b w:val="0"/>
                <w:sz w:val="18"/>
              </w:rPr>
              <w:t>Missing value in a numeric column</w:t>
            </w:r>
          </w:p>
        </w:tc>
        <w:tc>
          <w:tcPr>
            <w:tcW w:type="dxa" w:w="3312"/>
            <w:vAlign w:val="center"/>
          </w:tcPr>
          <w:p>
            <w:pPr>
              <w:spacing w:after="40"/>
            </w:pPr>
            <w:r/>
            <w:r>
              <w:rPr>
                <w:b w:val="0"/>
                <w:sz w:val="18"/>
              </w:rPr>
              <w:t>Calculate the mean of usable numeric values that satisfy configured bounds.</w:t>
            </w:r>
          </w:p>
        </w:tc>
        <w:tc>
          <w:tcPr>
            <w:tcW w:type="dxa" w:w="3312"/>
            <w:vAlign w:val="center"/>
          </w:tcPr>
          <w:p>
            <w:pPr>
              <w:spacing w:after="40"/>
            </w:pPr>
            <w:r/>
            <w:r>
              <w:rPr>
                <w:b w:val="0"/>
                <w:sz w:val="18"/>
              </w:rPr>
              <w:t>Provides a reproducible statistical estimate; the user must review it.</w:t>
            </w:r>
          </w:p>
        </w:tc>
      </w:tr>
      <w:tr>
        <w:tc>
          <w:tcPr>
            <w:tcW w:type="dxa" w:w="3312"/>
            <w:vAlign w:val="center"/>
            <w:shd w:fill="F4F7FB"/>
          </w:tcPr>
          <w:p>
            <w:pPr>
              <w:spacing w:after="40"/>
            </w:pPr>
            <w:r/>
            <w:r>
              <w:rPr>
                <w:b w:val="0"/>
                <w:sz w:val="18"/>
              </w:rPr>
              <w:t>Missing value in a categorical column</w:t>
            </w:r>
          </w:p>
        </w:tc>
        <w:tc>
          <w:tcPr>
            <w:tcW w:type="dxa" w:w="3312"/>
            <w:vAlign w:val="center"/>
            <w:shd w:fill="F4F7FB"/>
          </w:tcPr>
          <w:p>
            <w:pPr>
              <w:spacing w:after="40"/>
            </w:pPr>
            <w:r/>
            <w:r>
              <w:rPr>
                <w:b w:val="0"/>
                <w:sz w:val="18"/>
              </w:rPr>
              <w:t>Use the most frequent non-placeholder category (mode) when available.</w:t>
            </w:r>
          </w:p>
        </w:tc>
        <w:tc>
          <w:tcPr>
            <w:tcW w:type="dxa" w:w="3312"/>
            <w:vAlign w:val="center"/>
            <w:shd w:fill="F4F7FB"/>
          </w:tcPr>
          <w:p>
            <w:pPr>
              <w:spacing w:after="40"/>
            </w:pPr>
            <w:r/>
            <w:r>
              <w:rPr>
                <w:b w:val="0"/>
                <w:sz w:val="18"/>
              </w:rPr>
              <w:t>Uses the most common observed category rather than inventing one.</w:t>
            </w:r>
          </w:p>
        </w:tc>
      </w:tr>
      <w:tr>
        <w:tc>
          <w:tcPr>
            <w:tcW w:type="dxa" w:w="3312"/>
            <w:vAlign w:val="center"/>
          </w:tcPr>
          <w:p>
            <w:pPr>
              <w:spacing w:after="40"/>
            </w:pPr>
            <w:r/>
            <w:r>
              <w:rPr>
                <w:b w:val="0"/>
                <w:sz w:val="18"/>
              </w:rPr>
              <w:t>Missing value in free text, email, or date</w:t>
            </w:r>
          </w:p>
        </w:tc>
        <w:tc>
          <w:tcPr>
            <w:tcW w:type="dxa" w:w="3312"/>
            <w:vAlign w:val="center"/>
          </w:tcPr>
          <w:p>
            <w:pPr>
              <w:spacing w:after="40"/>
            </w:pPr>
            <w:r/>
            <w:r>
              <w:rPr>
                <w:b w:val="0"/>
                <w:sz w:val="18"/>
              </w:rPr>
              <w:t>Propose the explicit label 'missing'.</w:t>
            </w:r>
          </w:p>
        </w:tc>
        <w:tc>
          <w:tcPr>
            <w:tcW w:type="dxa" w:w="3312"/>
            <w:vAlign w:val="center"/>
          </w:tcPr>
          <w:p>
            <w:pPr>
              <w:spacing w:after="40"/>
            </w:pPr>
            <w:r/>
            <w:r>
              <w:rPr>
                <w:b w:val="0"/>
                <w:sz w:val="18"/>
              </w:rPr>
              <w:t>The correct value cannot safely be inferred from the remaining cells.</w:t>
            </w:r>
          </w:p>
        </w:tc>
      </w:tr>
      <w:tr>
        <w:tc>
          <w:tcPr>
            <w:tcW w:type="dxa" w:w="3312"/>
            <w:vAlign w:val="center"/>
            <w:shd w:fill="F4F7FB"/>
          </w:tcPr>
          <w:p>
            <w:pPr>
              <w:spacing w:after="40"/>
            </w:pPr>
            <w:r/>
            <w:r>
              <w:rPr>
                <w:b w:val="0"/>
                <w:sz w:val="18"/>
              </w:rPr>
              <w:t>Case/spacing/punctuation variants</w:t>
            </w:r>
          </w:p>
        </w:tc>
        <w:tc>
          <w:tcPr>
            <w:tcW w:type="dxa" w:w="3312"/>
            <w:vAlign w:val="center"/>
            <w:shd w:fill="F4F7FB"/>
          </w:tcPr>
          <w:p>
            <w:pPr>
              <w:spacing w:after="40"/>
            </w:pPr>
            <w:r/>
            <w:r>
              <w:rPr>
                <w:b w:val="0"/>
                <w:sz w:val="18"/>
              </w:rPr>
              <w:t>Propose a canonical spelling, preferring an observed title-case form such as 'Chennai'.</w:t>
            </w:r>
          </w:p>
        </w:tc>
        <w:tc>
          <w:tcPr>
            <w:tcW w:type="dxa" w:w="3312"/>
            <w:vAlign w:val="center"/>
            <w:shd w:fill="F4F7FB"/>
          </w:tcPr>
          <w:p>
            <w:pPr>
              <w:spacing w:after="40"/>
            </w:pPr>
            <w:r/>
            <w:r>
              <w:rPr>
                <w:b w:val="0"/>
                <w:sz w:val="18"/>
              </w:rPr>
              <w:t>Unifies likely variants while making the proposal visible for review.</w:t>
            </w:r>
          </w:p>
        </w:tc>
      </w:tr>
      <w:tr>
        <w:tc>
          <w:tcPr>
            <w:tcW w:type="dxa" w:w="3312"/>
            <w:vAlign w:val="center"/>
          </w:tcPr>
          <w:p>
            <w:pPr>
              <w:spacing w:after="40"/>
            </w:pPr>
            <w:r/>
            <w:r>
              <w:rPr>
                <w:b w:val="0"/>
                <w:sz w:val="18"/>
              </w:rPr>
              <w:t>Placeholder such as 'unspecified' or 'unknown'</w:t>
            </w:r>
          </w:p>
        </w:tc>
        <w:tc>
          <w:tcPr>
            <w:tcW w:type="dxa" w:w="3312"/>
            <w:vAlign w:val="center"/>
          </w:tcPr>
          <w:p>
            <w:pPr>
              <w:spacing w:after="40"/>
            </w:pPr>
            <w:r/>
            <w:r>
              <w:rPr>
                <w:b w:val="0"/>
                <w:sz w:val="18"/>
              </w:rPr>
              <w:t>Flag for user decision; do not silently replace or delete.</w:t>
            </w:r>
          </w:p>
        </w:tc>
        <w:tc>
          <w:tcPr>
            <w:tcW w:type="dxa" w:w="3312"/>
            <w:vAlign w:val="center"/>
          </w:tcPr>
          <w:p>
            <w:pPr>
              <w:spacing w:after="40"/>
            </w:pPr>
            <w:r/>
            <w:r>
              <w:rPr>
                <w:b w:val="0"/>
                <w:sz w:val="18"/>
              </w:rPr>
              <w:t>The word may be a placeholder or a legitimate category depending on context.</w:t>
            </w:r>
          </w:p>
        </w:tc>
      </w:tr>
      <w:tr>
        <w:tc>
          <w:tcPr>
            <w:tcW w:type="dxa" w:w="3312"/>
            <w:vAlign w:val="center"/>
            <w:shd w:fill="F4F7FB"/>
          </w:tcPr>
          <w:p>
            <w:pPr>
              <w:spacing w:after="40"/>
            </w:pPr>
            <w:r/>
            <w:r>
              <w:rPr>
                <w:b w:val="0"/>
                <w:sz w:val="18"/>
              </w:rPr>
              <w:t>Invalid numeric values, malformed email, ambiguous dates, outliers</w:t>
            </w:r>
          </w:p>
        </w:tc>
        <w:tc>
          <w:tcPr>
            <w:tcW w:type="dxa" w:w="3312"/>
            <w:vAlign w:val="center"/>
            <w:shd w:fill="F4F7FB"/>
          </w:tcPr>
          <w:p>
            <w:pPr>
              <w:spacing w:after="40"/>
            </w:pPr>
            <w:r/>
            <w:r>
              <w:rPr>
                <w:b w:val="0"/>
                <w:sz w:val="18"/>
              </w:rPr>
              <w:t>Flag for review; do not guess the correct value.</w:t>
            </w:r>
          </w:p>
        </w:tc>
        <w:tc>
          <w:tcPr>
            <w:tcW w:type="dxa" w:w="3312"/>
            <w:vAlign w:val="center"/>
            <w:shd w:fill="F4F7FB"/>
          </w:tcPr>
          <w:p>
            <w:pPr>
              <w:spacing w:after="40"/>
            </w:pPr>
            <w:r/>
            <w:r>
              <w:rPr>
                <w:b w:val="0"/>
                <w:sz w:val="18"/>
              </w:rPr>
              <w:t>Detection can identify a problem without knowing the true source value.</w:t>
            </w:r>
          </w:p>
        </w:tc>
      </w:tr>
      <w:tr>
        <w:tc>
          <w:tcPr>
            <w:tcW w:type="dxa" w:w="3312"/>
            <w:vAlign w:val="center"/>
          </w:tcPr>
          <w:p>
            <w:pPr>
              <w:spacing w:after="40"/>
            </w:pPr>
            <w:r/>
            <w:r>
              <w:rPr>
                <w:b w:val="0"/>
                <w:sz w:val="18"/>
              </w:rPr>
              <w:t>Exact duplicate rows</w:t>
            </w:r>
          </w:p>
        </w:tc>
        <w:tc>
          <w:tcPr>
            <w:tcW w:type="dxa" w:w="3312"/>
            <w:vAlign w:val="center"/>
          </w:tcPr>
          <w:p>
            <w:pPr>
              <w:spacing w:after="40"/>
            </w:pPr>
            <w:r/>
            <w:r>
              <w:rPr>
                <w:b w:val="0"/>
                <w:sz w:val="18"/>
              </w:rPr>
              <w:t>Identify the duplicate group; do not silently delete records.</w:t>
            </w:r>
          </w:p>
        </w:tc>
        <w:tc>
          <w:tcPr>
            <w:tcW w:type="dxa" w:w="3312"/>
            <w:vAlign w:val="center"/>
          </w:tcPr>
          <w:p>
            <w:pPr>
              <w:spacing w:after="40"/>
            </w:pPr>
            <w:r/>
            <w:r>
              <w:rPr>
                <w:b w:val="0"/>
                <w:sz w:val="18"/>
              </w:rPr>
              <w:t>Repeated rows may represent an error or a legitimate repeated event.</w:t>
            </w:r>
          </w:p>
        </w:tc>
      </w:tr>
    </w:tbl>
    <w:p>
      <w:pPr>
        <w:spacing w:after="20"/>
      </w:pPr>
    </w:p>
    <w:p>
      <w:pPr>
        <w:pStyle w:val="Heading2"/>
      </w:pPr>
      <w:r>
        <w:t>The Visual Explanation</w:t>
      </w:r>
    </w:p>
    <w:p>
      <w:r>
        <w:t>The automatic-cleaning screen shows a five-stage pipeline: Profile → Detect → Recommend → Review → Apply. It then compares issue counts in the current data with issue counts in a simulated proposed result. The proposed result is calculated on a copy of the working DataFrame, so the chart does not mutate the dataset. A before/proposed preview shows affected rows and explains the suggested values. Only the confirmation action changes the working copy.</w:t>
      </w:r>
    </w:p>
    <w:p>
      <w:pPr>
        <w:pStyle w:val="Heading1"/>
      </w:pPr>
      <w:r>
        <w:t>7. Manual Clean: Spreadsheet-Style Editing</w:t>
      </w:r>
    </w:p>
    <w:p>
      <w:pPr>
        <w:pStyle w:val="ListBullet"/>
        <w:spacing w:after="60"/>
      </w:pPr>
      <w:r>
        <w:t>The user can display all rows or filter to issues, missing values, placeholders, spelling variants, or duplicates.</w:t>
      </w:r>
    </w:p>
    <w:p>
      <w:pPr>
        <w:pStyle w:val="ListBullet"/>
        <w:spacing w:after="60"/>
      </w:pPr>
      <w:r>
        <w:t>The table uses visual categories: blue for missing values, red for confirmed violations, amber for potential anomalies, purple for duplicate rows, and green for approved changes.</w:t>
      </w:r>
    </w:p>
    <w:p>
      <w:pPr>
        <w:pStyle w:val="ListBullet"/>
        <w:spacing w:after="60"/>
      </w:pPr>
      <w:r>
        <w:t>The editable grid supports direct cell editing for visible rows. A preview step compares proposed values with the current working copy.</w:t>
      </w:r>
    </w:p>
    <w:p>
      <w:pPr>
        <w:pStyle w:val="ListBullet"/>
        <w:spacing w:after="60"/>
      </w:pPr>
      <w:r>
        <w:t>Bulk actions can replace missing markers or placeholders with a chosen label, blank, mean, median, mode, or custom value.</w:t>
      </w:r>
    </w:p>
    <w:p>
      <w:pPr>
        <w:pStyle w:val="ListBullet"/>
        <w:spacing w:after="60"/>
      </w:pPr>
      <w:r>
        <w:t>Category variants can be standardised as a group, so values such as 'chennai', 'CHENNAI', and 'Chennai' can all become 'Chennai'.</w:t>
      </w:r>
    </w:p>
    <w:p>
      <w:pPr>
        <w:pStyle w:val="ListBullet"/>
        <w:spacing w:after="60"/>
      </w:pPr>
      <w:r>
        <w:t>Duplicate-row removal is a proposal that requires explicit confirmation.</w:t>
      </w:r>
    </w:p>
    <w:p>
      <w:r>
        <w:t>Implementation note: Streamlit's built-in data editor is used for the spreadsheet interaction. It supports editable cells and table-like controls, but it does not provide every native Excel feature or a reliable click-event callback for an individual cell. Filtering and issue-specific bulk actions provide the current interaction model.</w:t>
      </w:r>
    </w:p>
    <w:p>
      <w:pPr>
        <w:pStyle w:val="Heading1"/>
      </w:pPr>
      <w:r>
        <w:t>8. Visualisation and Explainability</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294B7A"/>
          </w:tcPr>
          <w:p>
            <w:pPr>
              <w:spacing w:after="40"/>
            </w:pPr>
            <w:r/>
            <w:r>
              <w:rPr>
                <w:b/>
                <w:color w:val="FFFFFF"/>
                <w:sz w:val="18"/>
              </w:rPr>
              <w:t>Visual element</w:t>
            </w:r>
          </w:p>
        </w:tc>
        <w:tc>
          <w:tcPr>
            <w:tcW w:type="dxa" w:w="4968"/>
            <w:vAlign w:val="center"/>
            <w:shd w:fill="294B7A"/>
          </w:tcPr>
          <w:p>
            <w:pPr>
              <w:spacing w:after="40"/>
            </w:pPr>
            <w:r/>
            <w:r>
              <w:rPr>
                <w:b/>
                <w:color w:val="FFFFFF"/>
                <w:sz w:val="18"/>
              </w:rPr>
              <w:t>What it communicates</w:t>
            </w:r>
          </w:p>
        </w:tc>
      </w:tr>
      <w:tr>
        <w:tc>
          <w:tcPr>
            <w:tcW w:type="dxa" w:w="4968"/>
            <w:vAlign w:val="center"/>
          </w:tcPr>
          <w:p>
            <w:pPr>
              <w:spacing w:after="40"/>
            </w:pPr>
            <w:r/>
            <w:r>
              <w:rPr>
                <w:b w:val="0"/>
                <w:sz w:val="18"/>
              </w:rPr>
              <w:t>Column issue summary</w:t>
            </w:r>
          </w:p>
        </w:tc>
        <w:tc>
          <w:tcPr>
            <w:tcW w:type="dxa" w:w="4968"/>
            <w:vAlign w:val="center"/>
          </w:tcPr>
          <w:p>
            <w:pPr>
              <w:spacing w:after="40"/>
            </w:pPr>
            <w:r/>
            <w:r>
              <w:rPr>
                <w:b w:val="0"/>
                <w:sz w:val="18"/>
              </w:rPr>
              <w:t>How many missing values and anomaly/variant findings were detected in each column.</w:t>
            </w:r>
          </w:p>
        </w:tc>
      </w:tr>
      <w:tr>
        <w:tc>
          <w:tcPr>
            <w:tcW w:type="dxa" w:w="4968"/>
            <w:vAlign w:val="center"/>
            <w:shd w:fill="F4F7FB"/>
          </w:tcPr>
          <w:p>
            <w:pPr>
              <w:spacing w:after="40"/>
            </w:pPr>
            <w:r/>
            <w:r>
              <w:rPr>
                <w:b w:val="0"/>
                <w:sz w:val="18"/>
              </w:rPr>
              <w:t>Highlighted table</w:t>
            </w:r>
          </w:p>
        </w:tc>
        <w:tc>
          <w:tcPr>
            <w:tcW w:type="dxa" w:w="4968"/>
            <w:vAlign w:val="center"/>
            <w:shd w:fill="F4F7FB"/>
          </w:tcPr>
          <w:p>
            <w:pPr>
              <w:spacing w:after="40"/>
            </w:pPr>
            <w:r/>
            <w:r>
              <w:rPr>
                <w:b w:val="0"/>
                <w:sz w:val="18"/>
              </w:rPr>
              <w:t>Where the flagged cells and duplicate rows are located.</w:t>
            </w:r>
          </w:p>
        </w:tc>
      </w:tr>
      <w:tr>
        <w:tc>
          <w:tcPr>
            <w:tcW w:type="dxa" w:w="4968"/>
            <w:vAlign w:val="center"/>
          </w:tcPr>
          <w:p>
            <w:pPr>
              <w:spacing w:after="40"/>
            </w:pPr>
            <w:r/>
            <w:r>
              <w:rPr>
                <w:b w:val="0"/>
                <w:sz w:val="18"/>
              </w:rPr>
              <w:t>Cleaning pipeline</w:t>
            </w:r>
          </w:p>
        </w:tc>
        <w:tc>
          <w:tcPr>
            <w:tcW w:type="dxa" w:w="4968"/>
            <w:vAlign w:val="center"/>
          </w:tcPr>
          <w:p>
            <w:pPr>
              <w:spacing w:after="40"/>
            </w:pPr>
            <w:r/>
            <w:r>
              <w:rPr>
                <w:b w:val="0"/>
                <w:sz w:val="18"/>
              </w:rPr>
              <w:t>The sequence of analysis stages and where recommendations fit.</w:t>
            </w:r>
          </w:p>
        </w:tc>
      </w:tr>
      <w:tr>
        <w:tc>
          <w:tcPr>
            <w:tcW w:type="dxa" w:w="4968"/>
            <w:vAlign w:val="center"/>
            <w:shd w:fill="F4F7FB"/>
          </w:tcPr>
          <w:p>
            <w:pPr>
              <w:spacing w:after="40"/>
            </w:pPr>
            <w:r/>
            <w:r>
              <w:rPr>
                <w:b w:val="0"/>
                <w:sz w:val="18"/>
              </w:rPr>
              <w:t>Before vs simulated-after chart</w:t>
            </w:r>
          </w:p>
        </w:tc>
        <w:tc>
          <w:tcPr>
            <w:tcW w:type="dxa" w:w="4968"/>
            <w:vAlign w:val="center"/>
            <w:shd w:fill="F4F7FB"/>
          </w:tcPr>
          <w:p>
            <w:pPr>
              <w:spacing w:after="40"/>
            </w:pPr>
            <w:r/>
            <w:r>
              <w:rPr>
                <w:b w:val="0"/>
                <w:sz w:val="18"/>
              </w:rPr>
              <w:t>Whether the proposal is expected to reduce each detected issue type.</w:t>
            </w:r>
          </w:p>
        </w:tc>
      </w:tr>
      <w:tr>
        <w:tc>
          <w:tcPr>
            <w:tcW w:type="dxa" w:w="4968"/>
            <w:vAlign w:val="center"/>
          </w:tcPr>
          <w:p>
            <w:pPr>
              <w:spacing w:after="40"/>
            </w:pPr>
            <w:r/>
            <w:r>
              <w:rPr>
                <w:b w:val="0"/>
                <w:sz w:val="18"/>
              </w:rPr>
              <w:t>Before/proposed row preview</w:t>
            </w:r>
          </w:p>
        </w:tc>
        <w:tc>
          <w:tcPr>
            <w:tcW w:type="dxa" w:w="4968"/>
            <w:vAlign w:val="center"/>
          </w:tcPr>
          <w:p>
            <w:pPr>
              <w:spacing w:after="40"/>
            </w:pPr>
            <w:r/>
            <w:r>
              <w:rPr>
                <w:b w:val="0"/>
                <w:sz w:val="18"/>
              </w:rPr>
              <w:t>Exactly which values would change and the reason for each suggestion.</w:t>
            </w:r>
          </w:p>
        </w:tc>
      </w:tr>
      <w:tr>
        <w:tc>
          <w:tcPr>
            <w:tcW w:type="dxa" w:w="4968"/>
            <w:vAlign w:val="center"/>
            <w:shd w:fill="F4F7FB"/>
          </w:tcPr>
          <w:p>
            <w:pPr>
              <w:spacing w:after="40"/>
            </w:pPr>
            <w:r/>
            <w:r>
              <w:rPr>
                <w:b w:val="0"/>
                <w:sz w:val="18"/>
              </w:rPr>
              <w:t>Missing-value chart</w:t>
            </w:r>
          </w:p>
        </w:tc>
        <w:tc>
          <w:tcPr>
            <w:tcW w:type="dxa" w:w="4968"/>
            <w:vAlign w:val="center"/>
            <w:shd w:fill="F4F7FB"/>
          </w:tcPr>
          <w:p>
            <w:pPr>
              <w:spacing w:after="40"/>
            </w:pPr>
            <w:r/>
            <w:r>
              <w:rPr>
                <w:b w:val="0"/>
                <w:sz w:val="18"/>
              </w:rPr>
              <w:t>Columns with the largest missing-value burden.</w:t>
            </w:r>
          </w:p>
        </w:tc>
      </w:tr>
      <w:tr>
        <w:tc>
          <w:tcPr>
            <w:tcW w:type="dxa" w:w="4968"/>
            <w:vAlign w:val="center"/>
          </w:tcPr>
          <w:p>
            <w:pPr>
              <w:spacing w:after="40"/>
            </w:pPr>
            <w:r/>
            <w:r>
              <w:rPr>
                <w:b w:val="0"/>
                <w:sz w:val="18"/>
              </w:rPr>
              <w:t>Issue-type chart</w:t>
            </w:r>
          </w:p>
        </w:tc>
        <w:tc>
          <w:tcPr>
            <w:tcW w:type="dxa" w:w="4968"/>
            <w:vAlign w:val="center"/>
          </w:tcPr>
          <w:p>
            <w:pPr>
              <w:spacing w:after="40"/>
            </w:pPr>
            <w:r/>
            <w:r>
              <w:rPr>
                <w:b w:val="0"/>
                <w:sz w:val="18"/>
              </w:rPr>
              <w:t>The mix of detected issue categories.</w:t>
            </w:r>
          </w:p>
        </w:tc>
      </w:tr>
      <w:tr>
        <w:tc>
          <w:tcPr>
            <w:tcW w:type="dxa" w:w="4968"/>
            <w:vAlign w:val="center"/>
            <w:shd w:fill="F4F7FB"/>
          </w:tcPr>
          <w:p>
            <w:pPr>
              <w:spacing w:after="40"/>
            </w:pPr>
            <w:r/>
            <w:r>
              <w:rPr>
                <w:b w:val="0"/>
                <w:sz w:val="18"/>
              </w:rPr>
              <w:t>Histogram and box plot</w:t>
            </w:r>
          </w:p>
        </w:tc>
        <w:tc>
          <w:tcPr>
            <w:tcW w:type="dxa" w:w="4968"/>
            <w:vAlign w:val="center"/>
            <w:shd w:fill="F4F7FB"/>
          </w:tcPr>
          <w:p>
            <w:pPr>
              <w:spacing w:after="40"/>
            </w:pPr>
            <w:r/>
            <w:r>
              <w:rPr>
                <w:b w:val="0"/>
                <w:sz w:val="18"/>
              </w:rPr>
              <w:t>Numeric distribution and potential extreme observations.</w:t>
            </w:r>
          </w:p>
        </w:tc>
      </w:tr>
      <w:tr>
        <w:tc>
          <w:tcPr>
            <w:tcW w:type="dxa" w:w="4968"/>
            <w:vAlign w:val="center"/>
          </w:tcPr>
          <w:p>
            <w:pPr>
              <w:spacing w:after="40"/>
            </w:pPr>
            <w:r/>
            <w:r>
              <w:rPr>
                <w:b w:val="0"/>
                <w:sz w:val="18"/>
              </w:rPr>
              <w:t>Hash bucket chart</w:t>
            </w:r>
          </w:p>
        </w:tc>
        <w:tc>
          <w:tcPr>
            <w:tcW w:type="dxa" w:w="4968"/>
            <w:vAlign w:val="center"/>
          </w:tcPr>
          <w:p>
            <w:pPr>
              <w:spacing w:after="40"/>
            </w:pPr>
            <w:r/>
            <w:r>
              <w:rPr>
                <w:b w:val="0"/>
                <w:sz w:val="18"/>
              </w:rPr>
              <w:t>How records are distributed across hash-table buckets during duplicate detection.</w:t>
            </w:r>
          </w:p>
        </w:tc>
      </w:tr>
      <w:tr>
        <w:tc>
          <w:tcPr>
            <w:tcW w:type="dxa" w:w="4968"/>
            <w:vAlign w:val="center"/>
            <w:shd w:fill="F4F7FB"/>
          </w:tcPr>
          <w:p>
            <w:pPr>
              <w:spacing w:after="40"/>
            </w:pPr>
            <w:r/>
            <w:r>
              <w:rPr>
                <w:b w:val="0"/>
                <w:sz w:val="18"/>
              </w:rPr>
              <w:t>Heap priority table</w:t>
            </w:r>
          </w:p>
        </w:tc>
        <w:tc>
          <w:tcPr>
            <w:tcW w:type="dxa" w:w="4968"/>
            <w:vAlign w:val="center"/>
            <w:shd w:fill="F4F7FB"/>
          </w:tcPr>
          <w:p>
            <w:pPr>
              <w:spacing w:after="40"/>
            </w:pPr>
            <w:r/>
            <w:r>
              <w:rPr>
                <w:b w:val="0"/>
                <w:sz w:val="18"/>
              </w:rPr>
              <w:t>Issues ordered by the custom priority score.</w:t>
            </w:r>
          </w:p>
        </w:tc>
      </w:tr>
    </w:tbl>
    <w:p>
      <w:pPr>
        <w:spacing w:after="20"/>
      </w:pPr>
    </w:p>
    <w:p>
      <w:pPr>
        <w:pStyle w:val="Heading1"/>
      </w:pPr>
      <w:r>
        <w:t>9. Where Data Structures and Algorithms Are Used</w:t>
      </w:r>
    </w:p>
    <w:p>
      <w:pPr>
        <w:pStyle w:val="Heading2"/>
      </w:pPr>
      <w:r>
        <w:t>9.1 Custom Separate-Chaining Hash Table</w:t>
      </w:r>
    </w:p>
    <w:p>
      <w:r>
        <w:t>The application serialises each complete row into a record key, hashes it with a custom djb2-style hash function, and maps the hash to a bucket. Each bucket stores entries in a chain. When a row is examined, the algorithm compares records in the selected chain. It marks a duplicate only when the complete record matches; sharing a bucket or hash value alone is not enough.</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294B7A"/>
          </w:tcPr>
          <w:p>
            <w:pPr>
              <w:spacing w:after="40"/>
            </w:pPr>
            <w:r/>
            <w:r>
              <w:rPr>
                <w:b/>
                <w:color w:val="FFFFFF"/>
                <w:sz w:val="18"/>
              </w:rPr>
              <w:t>Operation</w:t>
            </w:r>
          </w:p>
        </w:tc>
        <w:tc>
          <w:tcPr>
            <w:tcW w:type="dxa" w:w="3312"/>
            <w:vAlign w:val="center"/>
            <w:shd w:fill="294B7A"/>
          </w:tcPr>
          <w:p>
            <w:pPr>
              <w:spacing w:after="40"/>
            </w:pPr>
            <w:r/>
            <w:r>
              <w:rPr>
                <w:b/>
                <w:color w:val="FFFFFF"/>
                <w:sz w:val="18"/>
              </w:rPr>
              <w:t>Expected complexity</w:t>
            </w:r>
          </w:p>
        </w:tc>
        <w:tc>
          <w:tcPr>
            <w:tcW w:type="dxa" w:w="3312"/>
            <w:vAlign w:val="center"/>
            <w:shd w:fill="294B7A"/>
          </w:tcPr>
          <w:p>
            <w:pPr>
              <w:spacing w:after="40"/>
            </w:pPr>
            <w:r/>
            <w:r>
              <w:rPr>
                <w:b/>
                <w:color w:val="FFFFFF"/>
                <w:sz w:val="18"/>
              </w:rPr>
              <w:t>Worst case</w:t>
            </w:r>
          </w:p>
        </w:tc>
      </w:tr>
      <w:tr>
        <w:tc>
          <w:tcPr>
            <w:tcW w:type="dxa" w:w="3312"/>
            <w:vAlign w:val="center"/>
          </w:tcPr>
          <w:p>
            <w:pPr>
              <w:spacing w:after="40"/>
            </w:pPr>
            <w:r/>
            <w:r>
              <w:rPr>
                <w:b w:val="0"/>
                <w:sz w:val="18"/>
              </w:rPr>
              <w:t>Hash one row</w:t>
            </w:r>
          </w:p>
        </w:tc>
        <w:tc>
          <w:tcPr>
            <w:tcW w:type="dxa" w:w="3312"/>
            <w:vAlign w:val="center"/>
          </w:tcPr>
          <w:p>
            <w:pPr>
              <w:spacing w:after="40"/>
            </w:pPr>
            <w:r/>
            <w:r>
              <w:rPr>
                <w:b w:val="0"/>
                <w:sz w:val="18"/>
              </w:rPr>
              <w:t>O(L), where L is the serialised row length</w:t>
            </w:r>
          </w:p>
        </w:tc>
        <w:tc>
          <w:tcPr>
            <w:tcW w:type="dxa" w:w="3312"/>
            <w:vAlign w:val="center"/>
          </w:tcPr>
          <w:p>
            <w:pPr>
              <w:spacing w:after="40"/>
            </w:pPr>
            <w:r/>
            <w:r>
              <w:rPr>
                <w:b w:val="0"/>
                <w:sz w:val="18"/>
              </w:rPr>
              <w:t>O(L)</w:t>
            </w:r>
          </w:p>
        </w:tc>
      </w:tr>
      <w:tr>
        <w:tc>
          <w:tcPr>
            <w:tcW w:type="dxa" w:w="3312"/>
            <w:vAlign w:val="center"/>
            <w:shd w:fill="F4F7FB"/>
          </w:tcPr>
          <w:p>
            <w:pPr>
              <w:spacing w:after="40"/>
            </w:pPr>
            <w:r/>
            <w:r>
              <w:rPr>
                <w:b w:val="0"/>
                <w:sz w:val="18"/>
              </w:rPr>
              <w:t>Insert/check one row</w:t>
            </w:r>
          </w:p>
        </w:tc>
        <w:tc>
          <w:tcPr>
            <w:tcW w:type="dxa" w:w="3312"/>
            <w:vAlign w:val="center"/>
            <w:shd w:fill="F4F7FB"/>
          </w:tcPr>
          <w:p>
            <w:pPr>
              <w:spacing w:after="40"/>
            </w:pPr>
            <w:r/>
            <w:r>
              <w:rPr>
                <w:b w:val="0"/>
                <w:sz w:val="18"/>
              </w:rPr>
              <w:t>O(L) with short chains</w:t>
            </w:r>
          </w:p>
        </w:tc>
        <w:tc>
          <w:tcPr>
            <w:tcW w:type="dxa" w:w="3312"/>
            <w:vAlign w:val="center"/>
            <w:shd w:fill="F4F7FB"/>
          </w:tcPr>
          <w:p>
            <w:pPr>
              <w:spacing w:after="40"/>
            </w:pPr>
            <w:r/>
            <w:r>
              <w:rPr>
                <w:b w:val="0"/>
                <w:sz w:val="18"/>
              </w:rPr>
              <w:t>O(nL) if all rows collide</w:t>
            </w:r>
          </w:p>
        </w:tc>
      </w:tr>
      <w:tr>
        <w:tc>
          <w:tcPr>
            <w:tcW w:type="dxa" w:w="3312"/>
            <w:vAlign w:val="center"/>
          </w:tcPr>
          <w:p>
            <w:pPr>
              <w:spacing w:after="40"/>
            </w:pPr>
            <w:r/>
            <w:r>
              <w:rPr>
                <w:b w:val="0"/>
                <w:sz w:val="18"/>
              </w:rPr>
              <w:t>Scan n rows</w:t>
            </w:r>
          </w:p>
        </w:tc>
        <w:tc>
          <w:tcPr>
            <w:tcW w:type="dxa" w:w="3312"/>
            <w:vAlign w:val="center"/>
          </w:tcPr>
          <w:p>
            <w:pPr>
              <w:spacing w:after="40"/>
            </w:pPr>
            <w:r/>
            <w:r>
              <w:rPr>
                <w:b w:val="0"/>
                <w:sz w:val="18"/>
              </w:rPr>
              <w:t>Expected O(nL)</w:t>
            </w:r>
          </w:p>
        </w:tc>
        <w:tc>
          <w:tcPr>
            <w:tcW w:type="dxa" w:w="3312"/>
            <w:vAlign w:val="center"/>
          </w:tcPr>
          <w:p>
            <w:pPr>
              <w:spacing w:after="40"/>
            </w:pPr>
            <w:r/>
            <w:r>
              <w:rPr>
                <w:b w:val="0"/>
                <w:sz w:val="18"/>
              </w:rPr>
              <w:t>O(n²L) under extreme collisions</w:t>
            </w:r>
          </w:p>
        </w:tc>
      </w:tr>
    </w:tbl>
    <w:p>
      <w:pPr>
        <w:spacing w:after="20"/>
      </w:pPr>
    </w:p>
    <w:p>
      <w:pPr>
        <w:pStyle w:val="Heading2"/>
      </w:pPr>
      <w:r>
        <w:t>9.2 Custom Binary Max-Heap</w:t>
      </w:r>
    </w:p>
    <w:p>
      <w:r>
        <w:t>Each detected issue receives a priority score calculated from severity and issue type. The custom max-heap stores issues by priority, allowing the application to display higher-priority items first. The heap logs insertions, extractions, swaps, and the current top element for demonstration.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294B7A"/>
          </w:tcPr>
          <w:p>
            <w:pPr>
              <w:spacing w:after="40"/>
            </w:pPr>
            <w:r/>
            <w:r>
              <w:rPr>
                <w:b/>
                <w:color w:val="FFFFFF"/>
                <w:sz w:val="18"/>
              </w:rPr>
              <w:t>Operation</w:t>
            </w:r>
          </w:p>
        </w:tc>
        <w:tc>
          <w:tcPr>
            <w:tcW w:type="dxa" w:w="4968"/>
            <w:vAlign w:val="center"/>
            <w:shd w:fill="294B7A"/>
          </w:tcPr>
          <w:p>
            <w:pPr>
              <w:spacing w:after="40"/>
            </w:pPr>
            <w:r/>
            <w:r>
              <w:rPr>
                <w:b/>
                <w:color w:val="FFFFFF"/>
                <w:sz w:val="18"/>
              </w:rPr>
              <w:t>Complexity</w:t>
            </w:r>
          </w:p>
        </w:tc>
      </w:tr>
      <w:tr>
        <w:tc>
          <w:tcPr>
            <w:tcW w:type="dxa" w:w="4968"/>
            <w:vAlign w:val="center"/>
          </w:tcPr>
          <w:p>
            <w:pPr>
              <w:spacing w:after="40"/>
            </w:pPr>
            <w:r/>
            <w:r>
              <w:rPr>
                <w:b w:val="0"/>
                <w:sz w:val="18"/>
              </w:rPr>
              <w:t>Insert (push)</w:t>
            </w:r>
          </w:p>
        </w:tc>
        <w:tc>
          <w:tcPr>
            <w:tcW w:type="dxa" w:w="4968"/>
            <w:vAlign w:val="center"/>
          </w:tcPr>
          <w:p>
            <w:pPr>
              <w:spacing w:after="40"/>
            </w:pPr>
            <w:r/>
            <w:r>
              <w:rPr>
                <w:b w:val="0"/>
                <w:sz w:val="18"/>
              </w:rPr>
              <w:t>O(log n)</w:t>
            </w:r>
          </w:p>
        </w:tc>
      </w:tr>
      <w:tr>
        <w:tc>
          <w:tcPr>
            <w:tcW w:type="dxa" w:w="4968"/>
            <w:vAlign w:val="center"/>
            <w:shd w:fill="F4F7FB"/>
          </w:tcPr>
          <w:p>
            <w:pPr>
              <w:spacing w:after="40"/>
            </w:pPr>
            <w:r/>
            <w:r>
              <w:rPr>
                <w:b w:val="0"/>
                <w:sz w:val="18"/>
              </w:rPr>
              <w:t>Remove highest-priority item (pop)</w:t>
            </w:r>
          </w:p>
        </w:tc>
        <w:tc>
          <w:tcPr>
            <w:tcW w:type="dxa" w:w="4968"/>
            <w:vAlign w:val="center"/>
            <w:shd w:fill="F4F7FB"/>
          </w:tcPr>
          <w:p>
            <w:pPr>
              <w:spacing w:after="40"/>
            </w:pPr>
            <w:r/>
            <w:r>
              <w:rPr>
                <w:b w:val="0"/>
                <w:sz w:val="18"/>
              </w:rPr>
              <w:t>O(log n)</w:t>
            </w:r>
          </w:p>
        </w:tc>
      </w:tr>
      <w:tr>
        <w:tc>
          <w:tcPr>
            <w:tcW w:type="dxa" w:w="4968"/>
            <w:vAlign w:val="center"/>
          </w:tcPr>
          <w:p>
            <w:pPr>
              <w:spacing w:after="40"/>
            </w:pPr>
            <w:r/>
            <w:r>
              <w:rPr>
                <w:b w:val="0"/>
                <w:sz w:val="18"/>
              </w:rPr>
              <w:t>Read highest-priority item (peek)</w:t>
            </w:r>
          </w:p>
        </w:tc>
        <w:tc>
          <w:tcPr>
            <w:tcW w:type="dxa" w:w="4968"/>
            <w:vAlign w:val="center"/>
          </w:tcPr>
          <w:p>
            <w:pPr>
              <w:spacing w:after="40"/>
            </w:pPr>
            <w:r/>
            <w:r>
              <w:rPr>
                <w:b w:val="0"/>
                <w:sz w:val="18"/>
              </w:rPr>
              <w:t>O(1)</w:t>
            </w:r>
          </w:p>
        </w:tc>
      </w:tr>
    </w:tbl>
    <w:p>
      <w:pPr>
        <w:spacing w:after="20"/>
      </w:pPr>
    </w:p>
    <w:p>
      <w:r>
        <w:t>The DSA Explorer makes the implementations inspectable: it can step through hashing, show bucket occupancy, demonstrate worst-case collisions, distinguish a hash collision from a true duplicate, and display issues in heap priority order.</w:t>
      </w:r>
    </w:p>
    <w:p>
      <w:pPr>
        <w:pStyle w:val="Heading1"/>
      </w:pPr>
      <w:r>
        <w:t>10. Data Safety and Auditability</w:t>
      </w:r>
    </w:p>
    <w:p>
      <w:pPr>
        <w:pStyle w:val="ListBullet"/>
        <w:spacing w:after="60"/>
      </w:pPr>
      <w:r>
        <w:t>The original uploaded bytes are retained for an exact original-file download.</w:t>
      </w:r>
    </w:p>
    <w:p>
      <w:pPr>
        <w:pStyle w:val="ListBullet"/>
        <w:spacing w:after="60"/>
      </w:pPr>
      <w:r>
        <w:t>The original DataFrame is preserved separately from the working DataFrame.</w:t>
      </w:r>
    </w:p>
    <w:p>
      <w:pPr>
        <w:pStyle w:val="ListBullet"/>
        <w:spacing w:after="60"/>
      </w:pPr>
      <w:r>
        <w:t>Detection and proposal generation are read-only.</w:t>
      </w:r>
    </w:p>
    <w:p>
      <w:pPr>
        <w:pStyle w:val="ListBullet"/>
        <w:spacing w:after="60"/>
      </w:pPr>
      <w:r>
        <w:t>Changes are applied only after the user confirms the proposal.</w:t>
      </w:r>
    </w:p>
    <w:p>
      <w:pPr>
        <w:pStyle w:val="ListBullet"/>
        <w:spacing w:after="60"/>
      </w:pPr>
      <w:r>
        <w:t>Cancelled proposals do not alter the working data.</w:t>
      </w:r>
    </w:p>
    <w:p>
      <w:pPr>
        <w:pStyle w:val="ListBullet"/>
        <w:spacing w:after="60"/>
      </w:pPr>
      <w:r>
        <w:t>Approved actions are recorded in the audit log with timestamps and before/after values.</w:t>
      </w:r>
    </w:p>
    <w:p>
      <w:pPr>
        <w:pStyle w:val="ListBullet"/>
        <w:spacing w:after="60"/>
      </w:pPr>
      <w:r>
        <w:t>The user can reset the working copy to the original dataset.</w:t>
      </w:r>
    </w:p>
    <w:p>
      <w:pPr>
        <w:pStyle w:val="ListBullet"/>
        <w:spacing w:after="60"/>
      </w:pPr>
      <w:r>
        <w:t>The cleaned CSV is exported without adding the Pandas index as an accidental column.</w:t>
      </w:r>
    </w:p>
    <w:p>
      <w:pPr>
        <w:pStyle w:val="Heading1"/>
      </w:pPr>
      <w:r>
        <w:t>11. Testing and Verification</w:t>
      </w:r>
    </w:p>
    <w:p>
      <w:r>
        <w:t>The following checks were run in the project environment:</w:t>
      </w:r>
    </w:p>
    <w:p>
      <w:pPr>
        <w:pStyle w:val="ListBullet"/>
        <w:spacing w:after="60"/>
      </w:pPr>
      <w:r>
        <w:t>Python syntax compilation for app.py, workflow.py, detectors.py, and dsa.py.</w:t>
      </w:r>
    </w:p>
    <w:p>
      <w:pPr>
        <w:pStyle w:val="ListBullet"/>
        <w:spacing w:after="60"/>
      </w:pPr>
      <w:r>
        <w:t>Hash-table duplicate detection and collision-handling tests.</w:t>
      </w:r>
    </w:p>
    <w:p>
      <w:pPr>
        <w:pStyle w:val="ListBullet"/>
        <w:spacing w:after="60"/>
      </w:pPr>
      <w:r>
        <w:t>Max-heap ordering test.</w:t>
      </w:r>
    </w:p>
    <w:p>
      <w:pPr>
        <w:pStyle w:val="ListBullet"/>
        <w:spacing w:after="60"/>
      </w:pPr>
      <w:r>
        <w:t>Read-only scan and original-data preservation tests.</w:t>
      </w:r>
    </w:p>
    <w:p>
      <w:pPr>
        <w:pStyle w:val="ListBullet"/>
        <w:spacing w:after="60"/>
      </w:pPr>
      <w:r>
        <w:t>Proposal cancellation and confirmed-edit audit tests.</w:t>
      </w:r>
    </w:p>
    <w:p>
      <w:pPr>
        <w:pStyle w:val="ListBullet"/>
        <w:spacing w:after="60"/>
      </w:pPr>
      <w:r>
        <w:t>Explicit confirmation test for row removal.</w:t>
      </w:r>
    </w:p>
    <w:p>
      <w:pPr>
        <w:pStyle w:val="ListBullet"/>
        <w:spacing w:after="60"/>
      </w:pPr>
      <w:r>
        <w:t>CSV export test to ensure the index is not added as a column.</w:t>
      </w:r>
    </w:p>
    <w:p>
      <w:pPr>
        <w:pStyle w:val="ListBullet"/>
        <w:spacing w:after="60"/>
      </w:pPr>
      <w:r>
        <w:t>Automatic-clean proposal test for mean imputation and canonical city spelling.</w:t>
      </w:r>
    </w:p>
    <w:p>
      <w:pPr>
        <w:pStyle w:val="ListBullet"/>
        <w:spacing w:after="60"/>
      </w:pPr>
      <w:r>
        <w:t>Group replacement test for standardising all city variants.</w:t>
      </w:r>
    </w:p>
    <w:p>
      <w:r>
        <w:t>Verification limitation: the unit tests and Python syntax checks passed. The Streamlit browser interface still needs to be run locally to verify its rendered layout and interactive behaviour in the target environment.</w:t>
      </w:r>
    </w:p>
    <w:p>
      <w:pPr>
        <w:pStyle w:val="Heading1"/>
      </w:pPr>
      <w:r>
        <w:t>12. Known Limitations and Future Improvements</w:t>
      </w:r>
    </w:p>
    <w:p>
      <w:pPr>
        <w:pStyle w:val="ListBullet"/>
        <w:spacing w:after="60"/>
      </w:pPr>
      <w:r>
        <w:t>Automatic recommendations are rule-based/statistical, not generated by an LLM. An optional LLM integration could be added later, with strict schema validation and user approval.</w:t>
      </w:r>
    </w:p>
    <w:p>
      <w:pPr>
        <w:pStyle w:val="ListBullet"/>
        <w:spacing w:after="60"/>
      </w:pPr>
      <w:r>
        <w:t>Column type inference can be imperfect on small or unusual datasets. A future version could let users confirm the intended type and validation rules before cleaning.</w:t>
      </w:r>
    </w:p>
    <w:p>
      <w:pPr>
        <w:pStyle w:val="ListBullet"/>
        <w:spacing w:after="60"/>
      </w:pPr>
      <w:r>
        <w:t>The built-in Streamlit editor is not a full Excel replacement. A dedicated grid component could enable cell selection events, richer keyboard navigation, and finer cell styling.</w:t>
      </w:r>
    </w:p>
    <w:p>
      <w:pPr>
        <w:pStyle w:val="ListBullet"/>
        <w:spacing w:after="60"/>
      </w:pPr>
      <w:r>
        <w:t>Pinned history currently lives in Streamlit session state. Persistent history across restarts would require storage such as SQLite and appropriate privacy controls.</w:t>
      </w:r>
    </w:p>
    <w:p>
      <w:pPr>
        <w:pStyle w:val="ListBullet"/>
        <w:spacing w:after="60"/>
      </w:pPr>
      <w:r>
        <w:t>Mean or mode imputation is not always statistically appropriate. Users should be able to choose methods and understand their assumptions.</w:t>
      </w:r>
    </w:p>
    <w:p>
      <w:pPr>
        <w:pStyle w:val="ListBullet"/>
        <w:spacing w:after="60"/>
      </w:pPr>
      <w:r>
        <w:t>Large CSV files may need row limits, chunked processing, and performance safeguards.</w:t>
      </w:r>
    </w:p>
    <w:p>
      <w:pPr>
        <w:pStyle w:val="Heading1"/>
      </w:pPr>
      <w:r>
        <w:t>13. Suggested Demonstration Script</w:t>
      </w:r>
    </w:p>
    <w:p>
      <w:pPr>
        <w:pStyle w:val="ListNumber"/>
        <w:spacing w:after="60"/>
      </w:pPr>
      <w:r>
        <w:t>Open DataSleuth and load the sample CSV.</w:t>
      </w:r>
    </w:p>
    <w:p>
      <w:pPr>
        <w:pStyle w:val="ListNumber"/>
        <w:spacing w:after="60"/>
      </w:pPr>
      <w:r>
        <w:t>Click Process Dataset and explain that scanning is read-only.</w:t>
      </w:r>
    </w:p>
    <w:p>
      <w:pPr>
        <w:pStyle w:val="ListNumber"/>
        <w:spacing w:after="60"/>
      </w:pPr>
      <w:r>
        <w:t>Show the highlighted missing age, placeholder-like values, category variants, and duplicate rows.</w:t>
      </w:r>
    </w:p>
    <w:p>
      <w:pPr>
        <w:pStyle w:val="ListNumber"/>
        <w:spacing w:after="60"/>
      </w:pPr>
      <w:r>
        <w:t>Choose DataSleuth Clean and explain the five stages: profile, detect, recommend, review, apply.</w:t>
      </w:r>
    </w:p>
    <w:p>
      <w:pPr>
        <w:pStyle w:val="ListNumber"/>
        <w:spacing w:after="60"/>
      </w:pPr>
      <w:r>
        <w:t>Show the mean recommendation for a missing numeric value and the proposed 'Chennai' canonical spelling.</w:t>
      </w:r>
    </w:p>
    <w:p>
      <w:pPr>
        <w:pStyle w:val="ListNumber"/>
        <w:spacing w:after="60"/>
      </w:pPr>
      <w:r>
        <w:t>Point to the before-versus-simulated-after issue chart. Emphasise that the simulation does not apply changes.</w:t>
      </w:r>
    </w:p>
    <w:p>
      <w:pPr>
        <w:pStyle w:val="ListNumber"/>
        <w:spacing w:after="60"/>
      </w:pPr>
      <w:r>
        <w:t>Confirm the proposal and download the cleaned CSV.</w:t>
      </w:r>
    </w:p>
    <w:p>
      <w:pPr>
        <w:pStyle w:val="ListNumber"/>
        <w:spacing w:after="60"/>
      </w:pPr>
      <w:r>
        <w:t>Return to Manual Clean, filter to missing values, edit a cell or use a bulk action, and preview the changes.</w:t>
      </w:r>
    </w:p>
    <w:p>
      <w:pPr>
        <w:pStyle w:val="ListNumber"/>
        <w:spacing w:after="60"/>
      </w:pPr>
      <w:r>
        <w:t>Open DSA Explorer and demonstrate a true duplicate versus a hash collision, then explain the max-heap priority ordering.</w:t>
      </w:r>
    </w:p>
    <w:p>
      <w:pPr>
        <w:pStyle w:val="ListNumber"/>
        <w:spacing w:after="60"/>
      </w:pPr>
      <w:r>
        <w:t>Finish by showing the audit log and explaining how the original dataset remains unchanged.</w:t>
      </w:r>
    </w:p>
    <w:p>
      <w:pPr>
        <w:pStyle w:val="Heading1"/>
      </w:pPr>
      <w:r>
        <w:t>14. Viva Questions to Prepare</w:t>
      </w:r>
    </w:p>
    <w:p>
      <w:pPr>
        <w:spacing w:after="40"/>
      </w:pPr>
      <w:r>
        <w:rPr>
          <w:b/>
          <w:color w:val="26416A"/>
        </w:rPr>
        <w:t>Why is this more than a CSV viewer?</w:t>
      </w:r>
    </w:p>
    <w:p>
      <w:pPr>
        <w:spacing w:after="140"/>
        <w:ind w:left="288"/>
      </w:pPr>
      <w:r>
        <w:t>It combines detection, explainable correction proposals, spreadsheet-style editing, visual feedback, approval, audit, export, and custom DSA implementations.</w:t>
      </w:r>
    </w:p>
    <w:p>
      <w:pPr>
        <w:spacing w:after="40"/>
      </w:pPr>
      <w:r>
        <w:rPr>
          <w:b/>
          <w:color w:val="26416A"/>
        </w:rPr>
        <w:t>Does it use a generative AI model?</w:t>
      </w:r>
    </w:p>
    <w:p>
      <w:pPr>
        <w:spacing w:after="140"/>
        <w:ind w:left="288"/>
      </w:pPr>
      <w:r>
        <w:t>Not in the current version. It uses explainable rules and statistics; an LLM integration is a possible future extension.</w:t>
      </w:r>
    </w:p>
    <w:p>
      <w:pPr>
        <w:spacing w:after="40"/>
      </w:pPr>
      <w:r>
        <w:rPr>
          <w:b/>
          <w:color w:val="26416A"/>
        </w:rPr>
        <w:t>Why not automatically delete all missing or duplicate rows?</w:t>
      </w:r>
    </w:p>
    <w:p>
      <w:pPr>
        <w:spacing w:after="140"/>
        <w:ind w:left="288"/>
      </w:pPr>
      <w:r>
        <w:t>The correct action depends on context. Silent deletion may destroy valid records, so the user decides and confirms.</w:t>
      </w:r>
    </w:p>
    <w:p>
      <w:pPr>
        <w:spacing w:after="40"/>
      </w:pPr>
      <w:r>
        <w:rPr>
          <w:b/>
          <w:color w:val="26416A"/>
        </w:rPr>
        <w:t>How are spelling variants detected?</w:t>
      </w:r>
    </w:p>
    <w:p>
      <w:pPr>
        <w:spacing w:after="140"/>
        <w:ind w:left="288"/>
      </w:pPr>
      <w:r>
        <w:t>Values are grouped by a normalized key that removes case and common punctuation/spacing differences, then each group is shown for review.</w:t>
      </w:r>
    </w:p>
    <w:p>
      <w:pPr>
        <w:spacing w:after="40"/>
      </w:pPr>
      <w:r>
        <w:rPr>
          <w:b/>
          <w:color w:val="26416A"/>
        </w:rPr>
        <w:t>How does the hash table avoid false duplicate matches?</w:t>
      </w:r>
    </w:p>
    <w:p>
      <w:pPr>
        <w:spacing w:after="140"/>
        <w:ind w:left="288"/>
      </w:pPr>
      <w:r>
        <w:t>It compares the complete record after a hash/bucket match. Collisions alone do not establish equality.</w:t>
      </w:r>
    </w:p>
    <w:p>
      <w:pPr>
        <w:spacing w:after="40"/>
      </w:pPr>
      <w:r>
        <w:rPr>
          <w:b/>
          <w:color w:val="26416A"/>
        </w:rPr>
        <w:t>Why use a max-heap?</w:t>
      </w:r>
    </w:p>
    <w:p>
      <w:pPr>
        <w:spacing w:after="140"/>
        <w:ind w:left="288"/>
      </w:pPr>
      <w:r>
        <w:t>It efficiently retrieves the highest-priority issue and demonstrates O(log n) insertion and extraction.</w:t>
      </w:r>
    </w:p>
    <w:p>
      <w:pPr>
        <w:spacing w:after="40"/>
      </w:pPr>
      <w:r>
        <w:rPr>
          <w:b/>
          <w:color w:val="26416A"/>
        </w:rPr>
        <w:t>How do you protect the original data?</w:t>
      </w:r>
    </w:p>
    <w:p>
      <w:pPr>
        <w:spacing w:after="140"/>
        <w:ind w:left="288"/>
      </w:pPr>
      <w:r>
        <w:t>The original bytes and DataFrame are retained separately; proposals apply only to the working copy after confirmation.</w:t>
      </w:r>
    </w:p>
    <w:p>
      <w:pPr>
        <w:spacing w:after="40"/>
      </w:pPr>
      <w:r>
        <w:rPr>
          <w:b/>
          <w:color w:val="26416A"/>
        </w:rPr>
        <w:t>What does the before/after chart mean?</w:t>
      </w:r>
    </w:p>
    <w:p>
      <w:pPr>
        <w:spacing w:after="140"/>
        <w:ind w:left="288"/>
      </w:pPr>
      <w:r>
        <w:t>The 'after' series is computed from a simulated copy with proposed values. It is not an applied change until the user confirms.</w:t>
      </w:r>
    </w:p>
    <w:p>
      <w:pPr>
        <w:pStyle w:val="Heading1"/>
      </w:pPr>
      <w:r>
        <w:t>15. Conclusion</w:t>
      </w:r>
    </w:p>
    <w:p>
      <w:r>
        <w:t>DataSleuth aims to make data cleaning more understandable and controlled. Its strongest contribution is the integration of issue highlighting, explainable recommendations, a manual spreadsheet workflow, a simulated visual view of proposed changes, approval and auditability. The custom hash table and max-heap provide a concrete DSA component that can be demonstrated and analysed. The next priority is validating the complete browser experience and ensuring that every visible interaction behaves as described.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08C"/>
        <w:sz w:val="16"/>
      </w:rPr>
      <w:t>DataSleuth • Project Understanding and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31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27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56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452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315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