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8"/>
        <w:gridCol w:w="5508"/>
      </w:tblGrid>
      <w:tr>
        <w:trPr>
          <w:cantSplit w:val="false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Spacing"/>
              <w:spacing w:before="0" w:after="0"/>
              <w:rPr>
                <w:rFonts w:cs="Helvetica" w:ascii="Georgia" w:hAnsi="Georgia"/>
                <w:b/>
                <w:bCs/>
                <w:sz w:val="36"/>
                <w:szCs w:val="31"/>
              </w:rPr>
            </w:pPr>
            <w:r>
              <w:rPr>
                <w:rFonts w:cs="Helvetica" w:ascii="Georgia" w:hAnsi="Georgia"/>
                <w:b/>
                <w:bCs/>
                <w:sz w:val="36"/>
                <w:szCs w:val="31"/>
              </w:rPr>
              <w:t>VIKAS CHAUHAN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Spacing"/>
              <w:spacing w:before="0" w:after="0"/>
              <w:jc w:val="right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409 A, 1st Floor, Nyay Khand 2, Indrapuram,</w:t>
            </w:r>
          </w:p>
          <w:p>
            <w:pPr>
              <w:pStyle w:val="NoSpacing"/>
              <w:spacing w:before="0" w:after="0"/>
              <w:jc w:val="right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Ghaziabad, Uttar Pradesh 201010 INDIA</w:t>
            </w:r>
          </w:p>
        </w:tc>
      </w:tr>
      <w:tr>
        <w:trPr>
          <w:cantSplit w:val="false"/>
        </w:trPr>
        <w:tc>
          <w:tcPr>
            <w:tcW w:w="5508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Spacing"/>
              <w:spacing w:before="0" w:after="0"/>
              <w:jc w:val="right"/>
              <w:rPr>
                <w:rFonts w:cs="Helvetica" w:ascii="Georgia" w:hAnsi="Georgia"/>
                <w:sz w:val="21"/>
                <w:szCs w:val="21"/>
              </w:rPr>
            </w:pPr>
            <w:hyperlink r:id="rId2">
              <w:r>
                <w:rPr>
                  <w:rStyle w:val="InternetLink"/>
                  <w:rFonts w:cs="Helvetica" w:ascii="Georgia" w:hAnsi="Georgia"/>
                  <w:sz w:val="21"/>
                  <w:szCs w:val="21"/>
                </w:rPr>
                <w:t>vchauhan617@gmail.com</w:t>
              </w:r>
            </w:hyperlink>
            <w:r>
              <w:rPr>
                <w:rFonts w:cs="Helvetica" w:ascii="Georgia" w:hAnsi="Georgia"/>
                <w:sz w:val="21"/>
                <w:szCs w:val="21"/>
              </w:rPr>
              <w:t xml:space="preserve">, </w:t>
            </w:r>
            <w:r>
              <w:rPr>
                <w:rFonts w:cs="Helvetica" w:ascii="Georgia" w:hAnsi="Georgia"/>
                <w:sz w:val="21"/>
                <w:szCs w:val="21"/>
              </w:rPr>
              <w:t>gfg.fhjfg@gmail.com</w:t>
            </w:r>
          </w:p>
        </w:tc>
      </w:tr>
      <w:tr>
        <w:trPr>
          <w:cantSplit w:val="false"/>
        </w:trPr>
        <w:tc>
          <w:tcPr>
            <w:tcW w:w="5508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Spacing"/>
              <w:spacing w:before="0" w:after="0"/>
              <w:jc w:val="right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 xml:space="preserve">+91  9999795182, </w:t>
            </w:r>
            <w:r>
              <w:rPr>
                <w:rFonts w:cs="Helvetica" w:ascii="Georgia" w:hAnsi="Georgia"/>
                <w:sz w:val="21"/>
                <w:szCs w:val="21"/>
              </w:rPr>
              <w:t>6323696325</w:t>
            </w:r>
          </w:p>
        </w:tc>
      </w:tr>
    </w:tbl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</w:r>
    </w:p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</w:r>
    </w:p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rPr>
          <w:cantSplit w:val="false"/>
        </w:trPr>
        <w:tc>
          <w:tcPr>
            <w:tcW w:w="110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rFonts w:cs="Helvetica" w:ascii="Georgia" w:hAnsi="Georgia"/>
                <w:i/>
                <w:iCs/>
                <w:sz w:val="21"/>
                <w:szCs w:val="21"/>
              </w:rPr>
            </w:pPr>
            <w:r>
              <w:rPr>
                <w:rFonts w:cs="Helvetica" w:ascii="Georgia" w:hAnsi="Georgia"/>
                <w:i/>
                <w:iCs/>
                <w:sz w:val="21"/>
                <w:szCs w:val="21"/>
              </w:rPr>
              <w:t>Qualified finance and accounts professional with more than five years of hands-on experience in managing budget portfolios to the tune of INR 500 million in a country-wide role, specializing in upkeep of books, accounts payable and receivable, reconciliation, fixed and term deposits, audit, tax and asset management</w:t>
            </w:r>
          </w:p>
        </w:tc>
      </w:tr>
    </w:tbl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</w:r>
    </w:p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1"/>
        <w:gridCol w:w="7364"/>
      </w:tblGrid>
      <w:tr>
        <w:trPr>
          <w:cantSplit w:val="false"/>
        </w:trPr>
        <w:tc>
          <w:tcPr>
            <w:tcW w:w="110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WORK</w:t>
            </w:r>
          </w:p>
        </w:tc>
      </w:tr>
      <w:tr>
        <w:trPr>
          <w:cantSplit w:val="false"/>
        </w:trPr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Helvetica" w:ascii="Georgia" w:hAnsi="Georgia"/>
                <w:i/>
                <w:iCs/>
                <w:sz w:val="21"/>
                <w:szCs w:val="21"/>
              </w:rPr>
            </w:pPr>
            <w:r>
              <w:rPr>
                <w:rFonts w:cs="Helvetica" w:ascii="Georgia" w:hAnsi="Georgia"/>
                <w:i/>
                <w:iCs/>
                <w:sz w:val="21"/>
                <w:szCs w:val="21"/>
              </w:rPr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i/>
                <w:iCs/>
                <w:sz w:val="21"/>
                <w:szCs w:val="21"/>
              </w:rPr>
            </w:pPr>
            <w:r>
              <w:rPr>
                <w:rFonts w:cs="Helvetica" w:ascii="Georgia" w:hAnsi="Georgia"/>
                <w:i/>
                <w:iCs/>
                <w:sz w:val="21"/>
                <w:szCs w:val="21"/>
              </w:rPr>
              <w:t>Senior Executive, Finance</w:t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i/>
                <w:iCs/>
                <w:sz w:val="21"/>
                <w:szCs w:val="21"/>
              </w:rPr>
            </w:pPr>
            <w:r>
              <w:rPr>
                <w:rFonts w:cs="Helvetica" w:ascii="Georgia" w:hAnsi="Georgia"/>
                <w:i/>
                <w:iCs/>
                <w:sz w:val="21"/>
                <w:szCs w:val="21"/>
              </w:rPr>
              <w:t>Tech Mahindra, NCR</w:t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April 2013 – present</w:t>
            </w:r>
          </w:p>
        </w:tc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management of accounts payable portfolio – amounting to INR 500 million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management of accounts receivable portfolio, including interest – amounting to INR 70 million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deduction, reconciliation and deposit of tax deducted at source (TDS) (online/offline) – under sections 94J, 94I and 94C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management of fixed deposits (FDs) and flexi-fixed / term deposits (FFDs/TDs), including interest receivable upon maturity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monthly reconciliation of bank, vendor and interest accounts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compilation of quarterly financial statements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quarterly and annual financial audit for partners across India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 xml:space="preserve">- capitalization of assets and calculation of depreciation 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tax-related work with respect to Work Contract Tax (WCT)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assisting the CEO in day-to-day financial matters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Helvetica" w:ascii="Georgia" w:hAnsi="Georgia"/>
                <w:i/>
                <w:iCs/>
                <w:sz w:val="21"/>
                <w:szCs w:val="21"/>
              </w:rPr>
            </w:pPr>
            <w:r>
              <w:rPr>
                <w:rFonts w:cs="Helvetica" w:ascii="Georgia" w:hAnsi="Georgia"/>
                <w:i/>
                <w:iCs/>
                <w:sz w:val="21"/>
                <w:szCs w:val="21"/>
              </w:rPr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i/>
                <w:iCs/>
                <w:sz w:val="21"/>
                <w:szCs w:val="21"/>
              </w:rPr>
            </w:pPr>
            <w:r>
              <w:rPr>
                <w:rFonts w:cs="Helvetica" w:ascii="Georgia" w:hAnsi="Georgia"/>
                <w:i/>
                <w:iCs/>
                <w:sz w:val="21"/>
                <w:szCs w:val="21"/>
              </w:rPr>
              <w:t>Executive, Finance / Accounts</w:t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i/>
                <w:iCs/>
                <w:sz w:val="21"/>
                <w:szCs w:val="21"/>
              </w:rPr>
            </w:pPr>
            <w:r>
              <w:rPr>
                <w:rFonts w:cs="Helvetica" w:ascii="Georgia" w:hAnsi="Georgia"/>
                <w:i/>
                <w:iCs/>
                <w:sz w:val="21"/>
                <w:szCs w:val="21"/>
              </w:rPr>
              <w:t>Sitaram Bhartia Institute of Science &amp; Research, NCR</w:t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March 2010 – May 2012</w:t>
            </w:r>
          </w:p>
        </w:tc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management of accounts payable and receivable portfolio – issuance of cheques to creditors after verification of invoices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reconciliation, calculation and deposit of TDS in accordance with IT Act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reconciliation of bank accounts, debtors and creditors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monthly calculation of profitability and department-wise accounting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managing advances and imprest accounts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responsible to maintain assets register and Calculation of depreciation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responsible to make fund flow and cash flow on monthly basis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responsible to calculate, reconcile and deposit of Service Tax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i/>
                <w:iCs/>
                <w:sz w:val="21"/>
                <w:szCs w:val="21"/>
              </w:rPr>
            </w:pPr>
            <w:r>
              <w:rPr>
                <w:rFonts w:cs="Helvetica" w:ascii="Georgia" w:hAnsi="Georgia"/>
                <w:i/>
                <w:iCs/>
                <w:sz w:val="21"/>
                <w:szCs w:val="21"/>
              </w:rPr>
              <w:t>Executive, Billing / Accounts</w:t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i/>
                <w:iCs/>
                <w:sz w:val="21"/>
                <w:szCs w:val="21"/>
              </w:rPr>
            </w:pPr>
            <w:r>
              <w:rPr>
                <w:rFonts w:cs="Helvetica" w:ascii="Georgia" w:hAnsi="Georgia"/>
                <w:i/>
                <w:iCs/>
                <w:sz w:val="21"/>
                <w:szCs w:val="21"/>
              </w:rPr>
              <w:t>Vishal Video &amp; Appliances, NCR</w:t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October  2009 – March 2010</w:t>
            </w:r>
          </w:p>
        </w:tc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daily audit of purchase and sales; maintaining purchase orders (POs)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development / calculation of schemes and management of claims through credit notes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monthly reconciliation of accounts and schemes with the company - Hindustan Unilever Limited (HUL)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daily / monthly reconciliation, closure and reporting of cash and bank funds, accounts payable and receivable, bank accounts and inter-company accounts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monthly / quarterly and annual tax-related work with respect to Value Added Tax (VAT), Central Sales Tax (CST) etc.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3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Helvetica" w:ascii="Georgia" w:hAnsi="Georgia"/>
                <w:i/>
                <w:iCs/>
                <w:sz w:val="21"/>
                <w:szCs w:val="21"/>
              </w:rPr>
            </w:pPr>
            <w:r>
              <w:rPr>
                <w:rFonts w:cs="Helvetica" w:ascii="Georgia" w:hAnsi="Georgia"/>
                <w:i/>
                <w:iCs/>
                <w:sz w:val="21"/>
                <w:szCs w:val="21"/>
              </w:rPr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i/>
                <w:iCs/>
                <w:sz w:val="21"/>
                <w:szCs w:val="21"/>
              </w:rPr>
            </w:pPr>
            <w:r>
              <w:rPr>
                <w:rFonts w:cs="Helvetica" w:ascii="Georgia" w:hAnsi="Georgia"/>
                <w:i/>
                <w:iCs/>
                <w:sz w:val="21"/>
                <w:szCs w:val="21"/>
              </w:rPr>
              <w:t>Audit &amp; Reconciliation Officer, Finance / Accounts</w:t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i/>
                <w:iCs/>
                <w:sz w:val="21"/>
                <w:szCs w:val="21"/>
              </w:rPr>
            </w:pPr>
            <w:r>
              <w:rPr>
                <w:rFonts w:cs="Helvetica" w:ascii="Georgia" w:hAnsi="Georgia"/>
                <w:i/>
                <w:iCs/>
                <w:sz w:val="21"/>
                <w:szCs w:val="21"/>
              </w:rPr>
              <w:t>CMS Securitas Ltd, Chandigarh</w:t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 xml:space="preserve"> </w:t>
            </w:r>
            <w:r>
              <w:rPr>
                <w:rFonts w:cs="Helvetica" w:ascii="Georgia" w:hAnsi="Georgia"/>
                <w:sz w:val="21"/>
                <w:szCs w:val="21"/>
              </w:rPr>
              <w:t>June 2008 – July 2009</w:t>
            </w:r>
          </w:p>
        </w:tc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managing accounts payable and receivable, and inter-company accounts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development / calculation of schemes and management of claims through credit notes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issuance of cheques to creditors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financial data management for different locations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maintaining float money,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collecting financial data, generating and verifying financial reports</w:t>
            </w:r>
          </w:p>
          <w:p>
            <w:pPr>
              <w:pStyle w:val="Normal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cs="Helvetica" w:ascii="Georgia" w:hAnsi="Georgia"/>
                <w:sz w:val="21"/>
                <w:szCs w:val="21"/>
              </w:rPr>
              <w:t>Handling the client complaints and escalations</w:t>
            </w:r>
          </w:p>
        </w:tc>
      </w:tr>
    </w:tbl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</w:r>
    </w:p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</w:r>
    </w:p>
    <w:p>
      <w:pPr>
        <w:pStyle w:val="NoSpacing"/>
        <w:rPr>
          <w:rFonts w:cs="Helvetica" w:ascii="Georgia" w:hAnsi="Georgia"/>
          <w:sz w:val="21"/>
          <w:szCs w:val="21"/>
        </w:rPr>
      </w:pPr>
      <w:bookmarkStart w:id="0" w:name="_GoBack"/>
      <w:bookmarkStart w:id="1" w:name="_GoBack"/>
      <w:bookmarkEnd w:id="1"/>
      <w:r>
        <w:rPr>
          <w:rFonts w:cs="Helvetica" w:ascii="Georgia" w:hAnsi="Georgia"/>
          <w:sz w:val="21"/>
          <w:szCs w:val="21"/>
        </w:rPr>
      </w:r>
    </w:p>
    <w:tbl>
      <w:tblPr>
        <w:tblW w:w="1080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>
          <w:trHeight w:val="284" w:hRule="atLeast"/>
          <w:cantSplit w:val="false"/>
        </w:trPr>
        <w:tc>
          <w:tcPr>
            <w:tcW w:w="10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5DCE4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EDUCATION</w:t>
            </w:r>
          </w:p>
        </w:tc>
      </w:tr>
      <w:tr>
        <w:trPr>
          <w:trHeight w:val="284" w:hRule="atLeast"/>
          <w:cantSplit w:val="false"/>
        </w:trPr>
        <w:tc>
          <w:tcPr>
            <w:tcW w:w="10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Master of Business Administration (MBA), Finance Management, Amity University, New Delhi, 2014</w:t>
            </w:r>
          </w:p>
        </w:tc>
      </w:tr>
      <w:tr>
        <w:trPr>
          <w:trHeight w:val="284" w:hRule="atLeast"/>
          <w:cantSplit w:val="false"/>
        </w:trPr>
        <w:tc>
          <w:tcPr>
            <w:tcW w:w="10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Bachelor of Commerce, University of Delhi, New Delhi, 2010</w:t>
            </w:r>
          </w:p>
        </w:tc>
      </w:tr>
      <w:tr>
        <w:trPr>
          <w:trHeight w:val="284" w:hRule="atLeast"/>
          <w:cantSplit w:val="false"/>
        </w:trPr>
        <w:tc>
          <w:tcPr>
            <w:tcW w:w="10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Certificate Course in Industrial Accounting, Institute of Computer Accountants (ICA),  Chandigarh, 2009</w:t>
            </w:r>
          </w:p>
        </w:tc>
      </w:tr>
      <w:tr>
        <w:trPr>
          <w:trHeight w:val="284" w:hRule="atLeast"/>
          <w:cantSplit w:val="false"/>
        </w:trPr>
        <w:tc>
          <w:tcPr>
            <w:tcW w:w="10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- 12th, Commerce, Central Board of Secondary Education, New Delhi, 2006</w:t>
            </w:r>
          </w:p>
        </w:tc>
      </w:tr>
      <w:tr>
        <w:trPr>
          <w:trHeight w:val="284" w:hRule="atLeast"/>
          <w:cantSplit w:val="false"/>
        </w:trPr>
        <w:tc>
          <w:tcPr>
            <w:tcW w:w="10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- 10th, Central Board of Secondary Education, New Delhi, 2004</w:t>
            </w:r>
          </w:p>
        </w:tc>
      </w:tr>
    </w:tbl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</w:r>
    </w:p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5DCE4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HOBBIES/INTERESTS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Sports – football, cricket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 xml:space="preserve">- Music and dance </w:t>
            </w:r>
          </w:p>
        </w:tc>
      </w:tr>
      <w:tr>
        <w:trPr>
          <w:cantSplit w:val="false"/>
        </w:trPr>
        <w:tc>
          <w:tcPr>
            <w:tcW w:w="1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- Travel</w:t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Passport: H4563215</w:t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Pan:  VBNGH4521k</w:t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Gender: Male</w:t>
            </w:r>
          </w:p>
          <w:p>
            <w:pPr>
              <w:pStyle w:val="NoSpacing"/>
              <w:spacing w:before="0" w:after="0"/>
              <w:rPr>
                <w:rFonts w:cs="Helvetica" w:ascii="Georgia" w:hAnsi="Georgia"/>
                <w:sz w:val="21"/>
                <w:szCs w:val="21"/>
              </w:rPr>
            </w:pPr>
            <w:r>
              <w:rPr>
                <w:rFonts w:cs="Helvetica" w:ascii="Georgia" w:hAnsi="Georgia"/>
                <w:sz w:val="21"/>
                <w:szCs w:val="21"/>
              </w:rPr>
              <w:t>Dob:  18/05/1983</w:t>
            </w:r>
          </w:p>
        </w:tc>
      </w:tr>
    </w:tbl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</w:r>
    </w:p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</w:r>
    </w:p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</w:r>
    </w:p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</w:r>
    </w:p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  <w:t>Vikas Chauhan</w:t>
        <w:tab/>
        <w:tab/>
        <w:tab/>
        <w:tab/>
        <w:tab/>
        <w:tab/>
        <w:tab/>
        <w:tab/>
        <w:tab/>
        <w:tab/>
        <w:tab/>
        <w:t>Version: October 2015</w:t>
      </w:r>
    </w:p>
    <w:p>
      <w:pPr>
        <w:pStyle w:val="NoSpacing"/>
        <w:rPr>
          <w:rFonts w:cs="Helvetica" w:ascii="Georgia" w:hAnsi="Georgia"/>
          <w:sz w:val="21"/>
          <w:szCs w:val="21"/>
        </w:rPr>
      </w:pPr>
      <w:r>
        <w:rPr>
          <w:rFonts w:cs="Helvetica" w:ascii="Georgia" w:hAnsi="Georgia"/>
          <w:sz w:val="21"/>
          <w:szCs w:val="21"/>
        </w:rPr>
        <w:t>New Delhi, INDIA</w:t>
        <w:tab/>
        <w:tab/>
        <w:tab/>
        <w:tab/>
        <w:tab/>
        <w:tab/>
        <w:tab/>
        <w:tab/>
        <w:tab/>
        <w:tab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8576a"/>
    <w:pPr>
      <w:widowControl/>
      <w:suppressAutoHyphens w:val="true"/>
      <w:bidi w:val="0"/>
      <w:spacing w:lineRule="auto" w:line="256" w:before="0" w:after="160"/>
      <w:jc w:val="left"/>
    </w:pPr>
    <w:rPr>
      <w:rFonts w:cs="" w:ascii="Calibri" w:hAnsi="Calibri" w:eastAsia="Droid Sans Fallback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nnotationreference">
    <w:name w:val="annotation reference"/>
    <w:uiPriority w:val="99"/>
    <w:semiHidden/>
    <w:unhideWhenUsed/>
    <w:rsid w:val="00705d5a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705d5a"/>
    <w:basedOn w:val="DefaultParagraphFont"/>
    <w:rPr>
      <w:rFonts w:cs=""/>
      <w:sz w:val="20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705d5a"/>
    <w:basedOn w:val="CommentTextChar"/>
    <w:rPr>
      <w:rFonts w:cs=""/>
      <w:b/>
      <w:bCs/>
      <w:sz w:val="20"/>
      <w:szCs w:val="20"/>
    </w:rPr>
  </w:style>
  <w:style w:type="character" w:styleId="BalloonTextChar" w:customStyle="1">
    <w:name w:val="Balloon Text Char"/>
    <w:uiPriority w:val="99"/>
    <w:semiHidden/>
    <w:link w:val="BalloonText"/>
    <w:rsid w:val="00705d5a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705d5a"/>
    <w:basedOn w:val="DefaultParagraphFont"/>
    <w:rPr>
      <w:color w:val="0563C1"/>
      <w:u w:val="single"/>
      <w:lang w:val="zxx" w:eastAsia="zxx" w:bidi="zxx"/>
    </w:rPr>
  </w:style>
  <w:style w:type="character" w:styleId="Small" w:customStyle="1">
    <w:name w:val="small"/>
    <w:rsid w:val="0098126f"/>
    <w:basedOn w:val="DefaultParagraphFont"/>
    <w:rPr/>
  </w:style>
  <w:style w:type="character" w:styleId="Appleconvertedspace" w:customStyle="1">
    <w:name w:val="apple-converted-space"/>
    <w:rsid w:val="00e82aef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b58a9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uiPriority w:val="99"/>
    <w:semiHidden/>
    <w:unhideWhenUsed/>
    <w:link w:val="CommentTextChar"/>
    <w:rsid w:val="00705d5a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705d5a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705d5a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522f"/>
    <w:pPr>
      <w:widowControl/>
      <w:suppressAutoHyphens w:val="true"/>
      <w:bidi w:val="0"/>
      <w:spacing w:lineRule="auto" w:line="240" w:before="0" w:after="0"/>
      <w:jc w:val="left"/>
    </w:pPr>
    <w:rPr>
      <w:rFonts w:cs="" w:ascii="Calibri" w:hAnsi="Calibri" w:eastAsia="Droid Sans Fallback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8576a"/>
    <w:pPr>
      <w:spacing w:lineRule="auto" w:line="240" w:after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8522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chauhan617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2016-03-28T11:04:00Z</dcterms:created>
  <dc:creator>admin</dc:creator>
  <dc:language>en-IN</dc:language>
  <cp:lastModifiedBy>5502</cp:lastModifiedBy>
  <dcterms:modified xsi:type="dcterms:W3CDTF">2016-03-28T11:04:00Z</dcterms:modified>
  <cp:revision>2</cp:revision>
</cp:coreProperties>
</file>