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aic1dvo6cmr" w:id="0"/>
      <w:bookmarkEnd w:id="0"/>
      <w:r w:rsidDel="00000000" w:rsidR="00000000" w:rsidRPr="00000000">
        <w:rPr>
          <w:rtl w:val="0"/>
        </w:rPr>
        <w:t xml:space="preserve">Customer Notes Jan 30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l4bodbca1od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the target audience: we have selected (all “big money” people) 1. Donors 2. Organizations seeking funds and 3. Policy makers as our most important users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Victor noted donors are #1, but policy makers (such as City of Regina, or City of Estevan) are also very important. He didn’t say much about fund-seekers, so that maybe should be moved to carryover customers.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our carryover customers who are still impacted and important, but not directly targeted or prioritized: 1. Funded organization employees and 2. SSCF Employees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Victor stated these are all good, for the most part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***If policy makers are an important audience for you, can you tell us more about your relationship and goals for how you want to influence/inform them?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