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Arial" w:cs="Arial" w:eastAsia="Arial" w:hAnsi="Arial"/>
          <w:b/>
          <w:bCs/>
          <w:color w:val="1F3864"/>
          <w:sz w:val="56"/>
          <w:szCs w:val="56"/>
        </w:rPr>
        <w:t xml:space="preserve">AIP Library Platform</w:t>
      </w:r>
    </w:p>
    <w:p>
      <w:pPr>
        <w:spacing w:after="800"/>
        <w:jc w:val="center"/>
      </w:pPr>
      <w:r>
        <w:rPr>
          <w:rFonts w:ascii="Arial" w:cs="Arial" w:eastAsia="Arial" w:hAnsi="Arial"/>
          <w:color w:val="595959"/>
          <w:sz w:val="32"/>
          <w:szCs w:val="32"/>
        </w:rPr>
        <w:t xml:space="preserve">Product Requirements Document</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6318"/>
      </w:tblGrid>
      <w:tr>
        <w:trPr>
          <w:tblHeader/>
        </w:trPr>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31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Value</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Version</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0.1 (Draft for Review)</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Status</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Draft</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Owner</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Product Manager</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Prepared</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July 2026</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Companion File</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AIP_Library_Rollout_Tracker.xlsx (state-by-state source inventory)</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Scope of this release</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Phase 1 — Metadata Tracking &amp; Change Detection (no document hosting/redistribution)</w:t>
            </w:r>
          </w:p>
        </w:tc>
      </w:tr>
    </w:tbl>
    <w:p>
      <w:r>
        <w:br w:type="page"/>
      </w:r>
    </w:p>
    <w:p>
      <w:pPr>
        <w:pStyle w:val="Heading1"/>
        <w:spacing w:after="200" w:before="400"/>
      </w:pPr>
      <w:r>
        <w:t xml:space="preserve">1. Executive Summary</w:t>
      </w:r>
    </w:p>
    <w:p>
      <w:pPr>
        <w:spacing w:after="160"/>
        <w:jc w:val="both"/>
      </w:pPr>
      <w:r>
        <w:rPr>
          <w:rFonts w:ascii="Arial" w:cs="Arial" w:eastAsia="Arial" w:hAnsi="Arial"/>
          <w:sz w:val="21"/>
          <w:szCs w:val="21"/>
        </w:rPr>
        <w:t xml:space="preserve">Flight operations, dispatch, and compliance teams currently track AIRAC AIP Amendments, Non-AIRAC Amendments, AIP Supplements, and AICs by manually visiting each state's Aeronautical Information Service (AIS) website. Because 190+ ICAO Contracting States publish independently, on inconsistent schedules, in inconsistent formats, and under inconsistent access terms (free vs. paid), documents are routinely missed.</w:t>
      </w:r>
    </w:p>
    <w:p>
      <w:pPr>
        <w:spacing w:after="160"/>
        <w:jc w:val="both"/>
      </w:pPr>
      <w:r>
        <w:rPr>
          <w:rFonts w:ascii="Arial" w:cs="Arial" w:eastAsia="Arial" w:hAnsi="Arial"/>
          <w:sz w:val="21"/>
          <w:szCs w:val="21"/>
        </w:rPr>
        <w:t xml:space="preserve">This PRD defines a phased product: a change-tracking and cycle-completeness platform that indexes what has been published, by whom, and when — with deep links to the authoritative source — rather than a system that hosts and redistributes the underlying documents. This scoping choice is deliberate and is justified in Section 11 (Legal &amp; Compliance).</w:t>
      </w:r>
    </w:p>
    <w:p>
      <w:pPr>
        <w:spacing w:after="160"/>
        <w:jc w:val="both"/>
      </w:pPr>
      <w:r>
        <w:rPr>
          <w:rFonts w:ascii="Arial" w:cs="Arial" w:eastAsia="Arial" w:hAnsi="Arial"/>
          <w:sz w:val="21"/>
          <w:szCs w:val="21"/>
        </w:rPr>
        <w:t xml:space="preserve">The initial build list (Appendix B / companion workbook) currently catalogs 220 states and territories, of which 196 (89%) are free or presumed-free to access, 8 are confirmed paid, and the remainder need manual verification. A small number of shared regional data sources (e.g. ASECNA, covering 18 African states through two portals) offer disproportionate coverage for the engineering effort required — these are prioritized first.</w:t>
      </w:r>
    </w:p>
    <w:p>
      <w:pPr>
        <w:pStyle w:val="Heading1"/>
        <w:spacing w:after="200" w:before="400"/>
      </w:pPr>
      <w:r>
        <w:t xml:space="preserve">2. Problem Statement</w:t>
      </w:r>
    </w:p>
    <w:p>
      <w:pPr>
        <w:pStyle w:val="ListParagraph"/>
        <w:numPr>
          <w:ilvl w:val="0"/>
          <w:numId w:val="1"/>
        </w:numPr>
        <w:spacing w:after="80"/>
      </w:pPr>
      <w:r>
        <w:rPr>
          <w:rFonts w:ascii="Arial" w:cs="Arial" w:eastAsia="Arial" w:hAnsi="Arial"/>
          <w:sz w:val="21"/>
          <w:szCs w:val="21"/>
        </w:rPr>
        <w:t xml:space="preserve">International flight operators must track AIRAC-cycle publications (28-day cadence) across every state they operate in or overfly.</w:t>
      </w:r>
    </w:p>
    <w:p>
      <w:pPr>
        <w:pStyle w:val="ListParagraph"/>
        <w:numPr>
          <w:ilvl w:val="0"/>
          <w:numId w:val="1"/>
        </w:numPr>
        <w:spacing w:after="80"/>
      </w:pPr>
      <w:r>
        <w:rPr>
          <w:rFonts w:ascii="Arial" w:cs="Arial" w:eastAsia="Arial" w:hAnsi="Arial"/>
          <w:sz w:val="21"/>
          <w:szCs w:val="21"/>
        </w:rPr>
        <w:t xml:space="preserve">States publish independently — some early (T-56 days), some at the ICAO minimum (T-28 days), some late — with no common calendar or notification system across states.</w:t>
      </w:r>
    </w:p>
    <w:p>
      <w:pPr>
        <w:pStyle w:val="ListParagraph"/>
        <w:numPr>
          <w:ilvl w:val="0"/>
          <w:numId w:val="1"/>
        </w:numPr>
        <w:spacing w:after="80"/>
      </w:pPr>
      <w:r>
        <w:rPr>
          <w:rFonts w:ascii="Arial" w:cs="Arial" w:eastAsia="Arial" w:hAnsi="Arial"/>
          <w:sz w:val="21"/>
          <w:szCs w:val="21"/>
        </w:rPr>
        <w:t xml:space="preserve">Some states charge for access and require organization-specific login credentials; others are free but structured differently (HTML, PDF, portal, or restricted extranet).</w:t>
      </w:r>
    </w:p>
    <w:p>
      <w:pPr>
        <w:pStyle w:val="ListParagraph"/>
        <w:numPr>
          <w:ilvl w:val="0"/>
          <w:numId w:val="1"/>
        </w:numPr>
        <w:spacing w:after="80"/>
      </w:pPr>
      <w:r>
        <w:rPr>
          <w:rFonts w:ascii="Arial" w:cs="Arial" w:eastAsia="Arial" w:hAnsi="Arial"/>
          <w:sz w:val="21"/>
          <w:szCs w:val="21"/>
        </w:rPr>
        <w:t xml:space="preserve">There is no single, current, trustworthy view of "what changed this cycle, and did every state we care about report in." Teams currently solve this by manually visiting dozens of sites per cycle — a process that does not scale and is where misses happen.</w:t>
      </w:r>
    </w:p>
    <w:p>
      <w:pPr>
        <w:spacing w:after="160"/>
        <w:jc w:val="both"/>
      </w:pPr>
      <w:r>
        <w:rPr>
          <w:rFonts w:ascii="Arial" w:cs="Arial" w:eastAsia="Arial" w:hAnsi="Arial"/>
          <w:sz w:val="21"/>
          <w:szCs w:val="21"/>
        </w:rPr>
        <w:t xml:space="preserve"/>
      </w:r>
    </w:p>
    <w:p>
      <w:pPr>
        <w:pStyle w:val="Heading1"/>
        <w:spacing w:after="200" w:before="400"/>
      </w:pPr>
      <w:r>
        <w:t xml:space="preserve">3. Goals &amp; Non-Goals (This Release)</w:t>
      </w:r>
    </w:p>
    <w:p>
      <w:pPr>
        <w:pStyle w:val="Heading2"/>
        <w:spacing w:after="150" w:before="300"/>
      </w:pPr>
      <w:r>
        <w:t xml:space="preserve">3.1 Goals</w:t>
      </w:r>
    </w:p>
    <w:p>
      <w:pPr>
        <w:pStyle w:val="ListParagraph"/>
        <w:numPr>
          <w:ilvl w:val="0"/>
          <w:numId w:val="1"/>
        </w:numPr>
        <w:spacing w:after="80"/>
      </w:pPr>
      <w:r>
        <w:rPr>
          <w:rFonts w:ascii="Arial" w:cs="Arial" w:eastAsia="Arial" w:hAnsi="Arial"/>
          <w:sz w:val="21"/>
          <w:szCs w:val="21"/>
        </w:rPr>
        <w:t xml:space="preserve">Give users one place to see, per AIRAC cycle, which states have published which document types, with effective/publish dates.</w:t>
      </w:r>
    </w:p>
    <w:p>
      <w:pPr>
        <w:pStyle w:val="ListParagraph"/>
        <w:numPr>
          <w:ilvl w:val="0"/>
          <w:numId w:val="1"/>
        </w:numPr>
        <w:spacing w:after="80"/>
      </w:pPr>
      <w:r>
        <w:rPr>
          <w:rFonts w:ascii="Arial" w:cs="Arial" w:eastAsia="Arial" w:hAnsi="Arial"/>
          <w:sz w:val="21"/>
          <w:szCs w:val="21"/>
        </w:rPr>
        <w:t xml:space="preserve">Detect and flag when a state that normally publishes has not yet done so for the current cycle (anomaly detection against that state's own historical baseline, not a blanket rule).</w:t>
      </w:r>
    </w:p>
    <w:p>
      <w:pPr>
        <w:pStyle w:val="ListParagraph"/>
        <w:numPr>
          <w:ilvl w:val="0"/>
          <w:numId w:val="1"/>
        </w:numPr>
        <w:spacing w:after="80"/>
      </w:pPr>
      <w:r>
        <w:rPr>
          <w:rFonts w:ascii="Arial" w:cs="Arial" w:eastAsia="Arial" w:hAnsi="Arial"/>
          <w:sz w:val="21"/>
          <w:szCs w:val="21"/>
        </w:rPr>
        <w:t xml:space="preserve">Provide deep links out to the authoritative government/ANSP source — never host or redistribute the underlying document content in this release.</w:t>
      </w:r>
    </w:p>
    <w:p>
      <w:pPr>
        <w:pStyle w:val="ListParagraph"/>
        <w:numPr>
          <w:ilvl w:val="0"/>
          <w:numId w:val="1"/>
        </w:numPr>
        <w:spacing w:after="80"/>
      </w:pPr>
      <w:r>
        <w:rPr>
          <w:rFonts w:ascii="Arial" w:cs="Arial" w:eastAsia="Arial" w:hAnsi="Arial"/>
          <w:sz w:val="21"/>
          <w:szCs w:val="21"/>
        </w:rPr>
        <w:t xml:space="preserve">Support a region-by-region, free-access-first rollout so the platform can go live incrementally rather than waiting for full global coverage.</w:t>
      </w:r>
    </w:p>
    <w:p>
      <w:pPr>
        <w:pStyle w:val="Heading2"/>
        <w:spacing w:after="150" w:before="300"/>
      </w:pPr>
      <w:r>
        <w:t xml:space="preserve">3.2 Non-Goals (This Release)</w:t>
      </w:r>
    </w:p>
    <w:p>
      <w:pPr>
        <w:pStyle w:val="ListParagraph"/>
        <w:numPr>
          <w:ilvl w:val="0"/>
          <w:numId w:val="1"/>
        </w:numPr>
        <w:spacing w:after="80"/>
      </w:pPr>
      <w:r>
        <w:rPr>
          <w:rFonts w:ascii="Arial" w:cs="Arial" w:eastAsia="Arial" w:hAnsi="Arial"/>
          <w:sz w:val="21"/>
          <w:szCs w:val="21"/>
        </w:rPr>
        <w:t xml:space="preserve">Hosting or redistributing AIP/AIC/SUP PDF or HTML content — deferred to a future phase pending licensing review (see Section 11).</w:t>
      </w:r>
    </w:p>
    <w:p>
      <w:pPr>
        <w:pStyle w:val="ListParagraph"/>
        <w:numPr>
          <w:ilvl w:val="0"/>
          <w:numId w:val="1"/>
        </w:numPr>
        <w:spacing w:after="80"/>
      </w:pPr>
      <w:r>
        <w:rPr>
          <w:rFonts w:ascii="Arial" w:cs="Arial" w:eastAsia="Arial" w:hAnsi="Arial"/>
          <w:sz w:val="21"/>
          <w:szCs w:val="21"/>
        </w:rPr>
        <w:t xml:space="preserve">Automating access to paid/credentialed AIS portals using shared or centrally-held credentials — deferred; any future support will be scoped per-user, using that user's own licensed access.</w:t>
      </w:r>
    </w:p>
    <w:p>
      <w:pPr>
        <w:pStyle w:val="ListParagraph"/>
        <w:numPr>
          <w:ilvl w:val="0"/>
          <w:numId w:val="1"/>
        </w:numPr>
        <w:spacing w:after="80"/>
      </w:pPr>
      <w:r>
        <w:rPr>
          <w:rFonts w:ascii="Arial" w:cs="Arial" w:eastAsia="Arial" w:hAnsi="Arial"/>
          <w:sz w:val="21"/>
          <w:szCs w:val="21"/>
        </w:rPr>
        <w:t xml:space="preserve">NOTAM ingestion — out of scope for v1; AIRAC-cycle documents (AMDT/SUP/AIC) only.</w:t>
      </w:r>
    </w:p>
    <w:p>
      <w:pPr>
        <w:pStyle w:val="Heading1"/>
        <w:spacing w:after="200" w:before="400"/>
      </w:pPr>
      <w:r>
        <w:t xml:space="preserve">4. User Personas</w:t>
      </w:r>
    </w:p>
    <w:p>
      <w:pPr>
        <w:pStyle w:val="Heading3"/>
        <w:spacing w:after="100" w:before="200"/>
      </w:pPr>
      <w:r>
        <w:t xml:space="preserve">Priya — Flight Dispatcher, Global Charter Operator</w:t>
      </w:r>
    </w:p>
    <w:p>
      <w:pPr>
        <w:spacing w:after="160"/>
        <w:jc w:val="both"/>
      </w:pPr>
      <w:r>
        <w:rPr>
          <w:rFonts w:ascii="Arial" w:cs="Arial" w:eastAsia="Arial" w:hAnsi="Arial"/>
          <w:sz w:val="21"/>
          <w:szCs w:val="21"/>
        </w:rPr>
        <w:t xml:space="preserve">Priya plans international trips for a business-jet operator, often to countries flown to only a few times a year. For every trip she must confirm current AIP/SUP/AIC status for departure, destination, alternates, and overflight states.</w:t>
      </w:r>
    </w:p>
    <w:p>
      <w:pPr>
        <w:spacing w:after="60" w:before="100"/>
      </w:pPr>
      <w:r>
        <w:rPr>
          <w:rFonts w:ascii="Arial" w:cs="Arial" w:eastAsia="Arial" w:hAnsi="Arial"/>
          <w:b/>
          <w:bCs/>
          <w:sz w:val="21"/>
          <w:szCs w:val="21"/>
        </w:rPr>
        <w:t xml:space="preserve">Goals</w:t>
      </w:r>
    </w:p>
    <w:p>
      <w:pPr>
        <w:pStyle w:val="ListParagraph"/>
        <w:numPr>
          <w:ilvl w:val="0"/>
          <w:numId w:val="1"/>
        </w:numPr>
        <w:spacing w:after="80"/>
      </w:pPr>
      <w:r>
        <w:rPr>
          <w:rFonts w:ascii="Arial" w:cs="Arial" w:eastAsia="Arial" w:hAnsi="Arial"/>
          <w:sz w:val="21"/>
          <w:szCs w:val="21"/>
        </w:rPr>
        <w:t xml:space="preserve">Confirm nothing relevant to an upcoming trip has changed without her noticing.</w:t>
      </w:r>
    </w:p>
    <w:p>
      <w:pPr>
        <w:pStyle w:val="ListParagraph"/>
        <w:numPr>
          <w:ilvl w:val="0"/>
          <w:numId w:val="1"/>
        </w:numPr>
        <w:spacing w:after="80"/>
      </w:pPr>
      <w:r>
        <w:rPr>
          <w:rFonts w:ascii="Arial" w:cs="Arial" w:eastAsia="Arial" w:hAnsi="Arial"/>
          <w:sz w:val="21"/>
          <w:szCs w:val="21"/>
        </w:rPr>
        <w:t xml:space="preserve">Do this quickly — trip prep windows are often under an hour.</w:t>
      </w:r>
    </w:p>
    <w:p>
      <w:pPr>
        <w:spacing w:after="60" w:before="100"/>
      </w:pPr>
      <w:r>
        <w:rPr>
          <w:rFonts w:ascii="Arial" w:cs="Arial" w:eastAsia="Arial" w:hAnsi="Arial"/>
          <w:b/>
          <w:bCs/>
          <w:sz w:val="21"/>
          <w:szCs w:val="21"/>
        </w:rPr>
        <w:t xml:space="preserve">Pain Points</w:t>
      </w:r>
    </w:p>
    <w:p>
      <w:pPr>
        <w:pStyle w:val="ListParagraph"/>
        <w:numPr>
          <w:ilvl w:val="0"/>
          <w:numId w:val="1"/>
        </w:numPr>
        <w:spacing w:after="80"/>
      </w:pPr>
      <w:r>
        <w:rPr>
          <w:rFonts w:ascii="Arial" w:cs="Arial" w:eastAsia="Arial" w:hAnsi="Arial"/>
          <w:sz w:val="21"/>
          <w:szCs w:val="21"/>
        </w:rPr>
        <w:t xml:space="preserve">Manually checks a dozen-plus government websites per international trip, each with a different layout and language.</w:t>
      </w:r>
    </w:p>
    <w:p>
      <w:pPr>
        <w:pStyle w:val="ListParagraph"/>
        <w:numPr>
          <w:ilvl w:val="0"/>
          <w:numId w:val="1"/>
        </w:numPr>
        <w:spacing w:after="80"/>
      </w:pPr>
      <w:r>
        <w:rPr>
          <w:rFonts w:ascii="Arial" w:cs="Arial" w:eastAsia="Arial" w:hAnsi="Arial"/>
          <w:sz w:val="21"/>
          <w:szCs w:val="21"/>
        </w:rPr>
        <w:t xml:space="preserve">Has no way to know if a site simply hasn't updated yet this cycle vs. she's looking in the wrong place.</w:t>
      </w:r>
    </w:p>
    <w:p>
      <w:pPr>
        <w:spacing w:after="60" w:before="100"/>
      </w:pPr>
      <w:r>
        <w:rPr>
          <w:rFonts w:ascii="Arial" w:cs="Arial" w:eastAsia="Arial" w:hAnsi="Arial"/>
          <w:b/>
          <w:bCs/>
          <w:sz w:val="21"/>
          <w:szCs w:val="21"/>
        </w:rPr>
        <w:t xml:space="preserve">What This Product Gives Them</w:t>
      </w:r>
    </w:p>
    <w:p>
      <w:pPr>
        <w:spacing w:after="160"/>
        <w:jc w:val="both"/>
      </w:pPr>
      <w:r>
        <w:rPr>
          <w:rFonts w:ascii="Arial" w:cs="Arial" w:eastAsia="Arial" w:hAnsi="Arial"/>
          <w:sz w:val="21"/>
          <w:szCs w:val="21"/>
        </w:rPr>
        <w:t xml:space="preserve">A single watchlist of her route's states, showing current-cycle publication status per state with direct links to each official source — turning an hour of tab-hopping into a two-minute check.</w:t>
      </w:r>
    </w:p>
    <w:p>
      <w:pPr>
        <w:pStyle w:val="Heading3"/>
        <w:spacing w:after="100" w:before="200"/>
      </w:pPr>
      <w:r>
        <w:t xml:space="preserve">Marcus — Regulatory &amp; Compliance Manager, Regional Airline</w:t>
      </w:r>
    </w:p>
    <w:p>
      <w:pPr>
        <w:spacing w:after="160"/>
        <w:jc w:val="both"/>
      </w:pPr>
      <w:r>
        <w:rPr>
          <w:rFonts w:ascii="Arial" w:cs="Arial" w:eastAsia="Arial" w:hAnsi="Arial"/>
          <w:sz w:val="21"/>
          <w:szCs w:val="21"/>
        </w:rPr>
        <w:t xml:space="preserve">Marcus is accountable for ensuring the airline's ops manuals, nav database update cycles, and crew briefing materials reflect every applicable AIRAC amendment across the airline's network — and for demonstrating that process during audits.</w:t>
      </w:r>
    </w:p>
    <w:p>
      <w:pPr>
        <w:spacing w:after="60" w:before="100"/>
      </w:pPr>
      <w:r>
        <w:rPr>
          <w:rFonts w:ascii="Arial" w:cs="Arial" w:eastAsia="Arial" w:hAnsi="Arial"/>
          <w:b/>
          <w:bCs/>
          <w:sz w:val="21"/>
          <w:szCs w:val="21"/>
        </w:rPr>
        <w:t xml:space="preserve">Goals</w:t>
      </w:r>
    </w:p>
    <w:p>
      <w:pPr>
        <w:pStyle w:val="ListParagraph"/>
        <w:numPr>
          <w:ilvl w:val="0"/>
          <w:numId w:val="1"/>
        </w:numPr>
        <w:spacing w:after="80"/>
      </w:pPr>
      <w:r>
        <w:rPr>
          <w:rFonts w:ascii="Arial" w:cs="Arial" w:eastAsia="Arial" w:hAnsi="Arial"/>
          <w:sz w:val="21"/>
          <w:szCs w:val="21"/>
        </w:rPr>
        <w:t xml:space="preserve">Prove, with an auditable record, that every relevant state's publications were reviewed each cycle.</w:t>
      </w:r>
    </w:p>
    <w:p>
      <w:pPr>
        <w:pStyle w:val="ListParagraph"/>
        <w:numPr>
          <w:ilvl w:val="0"/>
          <w:numId w:val="1"/>
        </w:numPr>
        <w:spacing w:after="80"/>
      </w:pPr>
      <w:r>
        <w:rPr>
          <w:rFonts w:ascii="Arial" w:cs="Arial" w:eastAsia="Arial" w:hAnsi="Arial"/>
          <w:sz w:val="21"/>
          <w:szCs w:val="21"/>
        </w:rPr>
        <w:t xml:space="preserve">Catch amendments early enough to feed nav-database and manual update cycles on time.</w:t>
      </w:r>
    </w:p>
    <w:p>
      <w:pPr>
        <w:spacing w:after="60" w:before="100"/>
      </w:pPr>
      <w:r>
        <w:rPr>
          <w:rFonts w:ascii="Arial" w:cs="Arial" w:eastAsia="Arial" w:hAnsi="Arial"/>
          <w:b/>
          <w:bCs/>
          <w:sz w:val="21"/>
          <w:szCs w:val="21"/>
        </w:rPr>
        <w:t xml:space="preserve">Pain Points</w:t>
      </w:r>
    </w:p>
    <w:p>
      <w:pPr>
        <w:pStyle w:val="ListParagraph"/>
        <w:numPr>
          <w:ilvl w:val="0"/>
          <w:numId w:val="1"/>
        </w:numPr>
        <w:spacing w:after="80"/>
      </w:pPr>
      <w:r>
        <w:rPr>
          <w:rFonts w:ascii="Arial" w:cs="Arial" w:eastAsia="Arial" w:hAnsi="Arial"/>
          <w:sz w:val="21"/>
          <w:szCs w:val="21"/>
        </w:rPr>
        <w:t xml:space="preserve">A missed amendment is a potential safety/compliance finding, not just an inconvenience.</w:t>
      </w:r>
    </w:p>
    <w:p>
      <w:pPr>
        <w:pStyle w:val="ListParagraph"/>
        <w:numPr>
          <w:ilvl w:val="0"/>
          <w:numId w:val="1"/>
        </w:numPr>
        <w:spacing w:after="80"/>
      </w:pPr>
      <w:r>
        <w:rPr>
          <w:rFonts w:ascii="Arial" w:cs="Arial" w:eastAsia="Arial" w:hAnsi="Arial"/>
          <w:sz w:val="21"/>
          <w:szCs w:val="21"/>
        </w:rPr>
        <w:t xml:space="preserve">Currently relies on a spreadsheet and institutional memory of which sites to check — fragile when staff turn over.</w:t>
      </w:r>
    </w:p>
    <w:p>
      <w:pPr>
        <w:spacing w:after="60" w:before="100"/>
      </w:pPr>
      <w:r>
        <w:rPr>
          <w:rFonts w:ascii="Arial" w:cs="Arial" w:eastAsia="Arial" w:hAnsi="Arial"/>
          <w:b/>
          <w:bCs/>
          <w:sz w:val="21"/>
          <w:szCs w:val="21"/>
        </w:rPr>
        <w:t xml:space="preserve">What This Product Gives Them</w:t>
      </w:r>
    </w:p>
    <w:p>
      <w:pPr>
        <w:spacing w:after="160"/>
        <w:jc w:val="both"/>
      </w:pPr>
      <w:r>
        <w:rPr>
          <w:rFonts w:ascii="Arial" w:cs="Arial" w:eastAsia="Arial" w:hAnsi="Arial"/>
          <w:sz w:val="21"/>
          <w:szCs w:val="21"/>
        </w:rPr>
        <w:t xml:space="preserve">A cycle-completeness dashboard with a timestamped record of what was published and when it was checked — the audit trail he currently has to build by hand.</w:t>
      </w:r>
    </w:p>
    <w:p>
      <w:pPr>
        <w:pStyle w:val="Heading3"/>
        <w:spacing w:after="100" w:before="200"/>
      </w:pPr>
      <w:r>
        <w:t xml:space="preserve">Elena — Trip Support Coordinator, Business Aviation Trip Support Company</w:t>
      </w:r>
    </w:p>
    <w:p>
      <w:pPr>
        <w:spacing w:after="160"/>
        <w:jc w:val="both"/>
      </w:pPr>
      <w:r>
        <w:rPr>
          <w:rFonts w:ascii="Arial" w:cs="Arial" w:eastAsia="Arial" w:hAnsi="Arial"/>
          <w:sz w:val="21"/>
          <w:szCs w:val="21"/>
        </w:rPr>
        <w:t xml:space="preserve">Elena handles ad hoc routings into less-common markets for clients, frequently touching states that require paid, credentialed AIS portal access that her company already subscribes to.</w:t>
      </w:r>
    </w:p>
    <w:p>
      <w:pPr>
        <w:spacing w:after="60" w:before="100"/>
      </w:pPr>
      <w:r>
        <w:rPr>
          <w:rFonts w:ascii="Arial" w:cs="Arial" w:eastAsia="Arial" w:hAnsi="Arial"/>
          <w:b/>
          <w:bCs/>
          <w:sz w:val="21"/>
          <w:szCs w:val="21"/>
        </w:rPr>
        <w:t xml:space="preserve">Goals</w:t>
      </w:r>
    </w:p>
    <w:p>
      <w:pPr>
        <w:pStyle w:val="ListParagraph"/>
        <w:numPr>
          <w:ilvl w:val="0"/>
          <w:numId w:val="1"/>
        </w:numPr>
        <w:spacing w:after="80"/>
      </w:pPr>
      <w:r>
        <w:rPr>
          <w:rFonts w:ascii="Arial" w:cs="Arial" w:eastAsia="Arial" w:hAnsi="Arial"/>
          <w:sz w:val="21"/>
          <w:szCs w:val="21"/>
        </w:rPr>
        <w:t xml:space="preserve">Move quickly across many unfamiliar states without missing a paid portal she has access to but forgets to check.</w:t>
      </w:r>
    </w:p>
    <w:p>
      <w:pPr>
        <w:pStyle w:val="ListParagraph"/>
        <w:numPr>
          <w:ilvl w:val="0"/>
          <w:numId w:val="1"/>
        </w:numPr>
        <w:spacing w:after="80"/>
      </w:pPr>
      <w:r>
        <w:rPr>
          <w:rFonts w:ascii="Arial" w:cs="Arial" w:eastAsia="Arial" w:hAnsi="Arial"/>
          <w:sz w:val="21"/>
          <w:szCs w:val="21"/>
        </w:rPr>
        <w:t xml:space="preserve">Keep track of which of her company's paid subscriptions cover which states.</w:t>
      </w:r>
    </w:p>
    <w:p>
      <w:pPr>
        <w:spacing w:after="60" w:before="100"/>
      </w:pPr>
      <w:r>
        <w:rPr>
          <w:rFonts w:ascii="Arial" w:cs="Arial" w:eastAsia="Arial" w:hAnsi="Arial"/>
          <w:b/>
          <w:bCs/>
          <w:sz w:val="21"/>
          <w:szCs w:val="21"/>
        </w:rPr>
        <w:t xml:space="preserve">Pain Points</w:t>
      </w:r>
    </w:p>
    <w:p>
      <w:pPr>
        <w:pStyle w:val="ListParagraph"/>
        <w:numPr>
          <w:ilvl w:val="0"/>
          <w:numId w:val="1"/>
        </w:numPr>
        <w:spacing w:after="80"/>
      </w:pPr>
      <w:r>
        <w:rPr>
          <w:rFonts w:ascii="Arial" w:cs="Arial" w:eastAsia="Arial" w:hAnsi="Arial"/>
          <w:sz w:val="21"/>
          <w:szCs w:val="21"/>
        </w:rPr>
        <w:t xml:space="preserve">Juggles logins to 15+ paid AIS portals across different vendors.</w:t>
      </w:r>
    </w:p>
    <w:p>
      <w:pPr>
        <w:pStyle w:val="ListParagraph"/>
        <w:numPr>
          <w:ilvl w:val="0"/>
          <w:numId w:val="1"/>
        </w:numPr>
        <w:spacing w:after="80"/>
      </w:pPr>
      <w:r>
        <w:rPr>
          <w:rFonts w:ascii="Arial" w:cs="Arial" w:eastAsia="Arial" w:hAnsi="Arial"/>
          <w:sz w:val="21"/>
          <w:szCs w:val="21"/>
        </w:rPr>
        <w:t xml:space="preserve">Free trackers (like this product's Phase 1) don't cover the paid states she needs most — she still has to check those manually.</w:t>
      </w:r>
    </w:p>
    <w:p>
      <w:pPr>
        <w:spacing w:after="60" w:before="100"/>
      </w:pPr>
      <w:r>
        <w:rPr>
          <w:rFonts w:ascii="Arial" w:cs="Arial" w:eastAsia="Arial" w:hAnsi="Arial"/>
          <w:b/>
          <w:bCs/>
          <w:sz w:val="21"/>
          <w:szCs w:val="21"/>
        </w:rPr>
        <w:t xml:space="preserve">What This Product Gives Them</w:t>
      </w:r>
    </w:p>
    <w:p>
      <w:pPr>
        <w:spacing w:after="160"/>
        <w:jc w:val="both"/>
      </w:pPr>
      <w:r>
        <w:rPr>
          <w:rFonts w:ascii="Arial" w:cs="Arial" w:eastAsia="Arial" w:hAnsi="Arial"/>
          <w:sz w:val="21"/>
          <w:szCs w:val="21"/>
        </w:rPr>
        <w:t xml:space="preserve">In Phase 1: a clear, honest flag on which states are outside free coverage so she knows exactly where manual checking is still required. In a later phase (Section 3.2 / roadmap): scoped automation against her own company's existing paid credentials.</w:t>
      </w:r>
    </w:p>
    <w:p>
      <w:pPr>
        <w:pStyle w:val="Heading3"/>
        <w:spacing w:after="100" w:before="200"/>
      </w:pPr>
      <w:r>
        <w:t xml:space="preserve">Dev — Integration Engineer, EFB / Flight-Planning Software Vendor</w:t>
      </w:r>
    </w:p>
    <w:p>
      <w:pPr>
        <w:spacing w:after="160"/>
        <w:jc w:val="both"/>
      </w:pPr>
      <w:r>
        <w:rPr>
          <w:rFonts w:ascii="Arial" w:cs="Arial" w:eastAsia="Arial" w:hAnsi="Arial"/>
          <w:sz w:val="21"/>
          <w:szCs w:val="21"/>
        </w:rPr>
        <w:t xml:space="preserve">Dev's company builds electronic flight bag software and wants a clean, structured feed of "what changed, where, when" to power an in-app briefing screen, rather than building and maintaining 190 scrapers in-house.</w:t>
      </w:r>
    </w:p>
    <w:p>
      <w:pPr>
        <w:spacing w:after="60" w:before="100"/>
      </w:pPr>
      <w:r>
        <w:rPr>
          <w:rFonts w:ascii="Arial" w:cs="Arial" w:eastAsia="Arial" w:hAnsi="Arial"/>
          <w:b/>
          <w:bCs/>
          <w:sz w:val="21"/>
          <w:szCs w:val="21"/>
        </w:rPr>
        <w:t xml:space="preserve">Goals</w:t>
      </w:r>
    </w:p>
    <w:p>
      <w:pPr>
        <w:pStyle w:val="ListParagraph"/>
        <w:numPr>
          <w:ilvl w:val="0"/>
          <w:numId w:val="1"/>
        </w:numPr>
        <w:spacing w:after="80"/>
      </w:pPr>
      <w:r>
        <w:rPr>
          <w:rFonts w:ascii="Arial" w:cs="Arial" w:eastAsia="Arial" w:hAnsi="Arial"/>
          <w:sz w:val="21"/>
          <w:szCs w:val="21"/>
        </w:rPr>
        <w:t xml:space="preserve">Consume a single structured API rather than integrate with dozens of inconsistent state websites.</w:t>
      </w:r>
    </w:p>
    <w:p>
      <w:pPr>
        <w:pStyle w:val="ListParagraph"/>
        <w:numPr>
          <w:ilvl w:val="0"/>
          <w:numId w:val="1"/>
        </w:numPr>
        <w:spacing w:after="80"/>
      </w:pPr>
      <w:r>
        <w:rPr>
          <w:rFonts w:ascii="Arial" w:cs="Arial" w:eastAsia="Arial" w:hAnsi="Arial"/>
          <w:sz w:val="21"/>
          <w:szCs w:val="21"/>
        </w:rPr>
        <w:t xml:space="preserve">Trust that the feed is current and clearly labeled by confidence/access-tier.</w:t>
      </w:r>
    </w:p>
    <w:p>
      <w:pPr>
        <w:spacing w:after="60" w:before="100"/>
      </w:pPr>
      <w:r>
        <w:rPr>
          <w:rFonts w:ascii="Arial" w:cs="Arial" w:eastAsia="Arial" w:hAnsi="Arial"/>
          <w:b/>
          <w:bCs/>
          <w:sz w:val="21"/>
          <w:szCs w:val="21"/>
        </w:rPr>
        <w:t xml:space="preserve">Pain Points</w:t>
      </w:r>
    </w:p>
    <w:p>
      <w:pPr>
        <w:pStyle w:val="ListParagraph"/>
        <w:numPr>
          <w:ilvl w:val="0"/>
          <w:numId w:val="1"/>
        </w:numPr>
        <w:spacing w:after="80"/>
      </w:pPr>
      <w:r>
        <w:rPr>
          <w:rFonts w:ascii="Arial" w:cs="Arial" w:eastAsia="Arial" w:hAnsi="Arial"/>
          <w:sz w:val="21"/>
          <w:szCs w:val="21"/>
        </w:rPr>
        <w:t xml:space="preserve">No global, vendor-neutral feed of this kind exists today; EAD covers Europe only and requires its own commercial agreement.</w:t>
      </w:r>
    </w:p>
    <w:p>
      <w:pPr>
        <w:pStyle w:val="ListParagraph"/>
        <w:numPr>
          <w:ilvl w:val="0"/>
          <w:numId w:val="1"/>
        </w:numPr>
        <w:spacing w:after="80"/>
      </w:pPr>
      <w:r>
        <w:rPr>
          <w:rFonts w:ascii="Arial" w:cs="Arial" w:eastAsia="Arial" w:hAnsi="Arial"/>
          <w:sz w:val="21"/>
          <w:szCs w:val="21"/>
        </w:rPr>
        <w:t xml:space="preserve">Building this in-house is exactly the undifferentiated scraping-and-maintenance burden this product is meant to absorb.</w:t>
      </w:r>
    </w:p>
    <w:p>
      <w:pPr>
        <w:spacing w:after="60" w:before="100"/>
      </w:pPr>
      <w:r>
        <w:rPr>
          <w:rFonts w:ascii="Arial" w:cs="Arial" w:eastAsia="Arial" w:hAnsi="Arial"/>
          <w:b/>
          <w:bCs/>
          <w:sz w:val="21"/>
          <w:szCs w:val="21"/>
        </w:rPr>
        <w:t xml:space="preserve">What This Product Gives Them</w:t>
      </w:r>
    </w:p>
    <w:p>
      <w:pPr>
        <w:spacing w:after="160"/>
        <w:jc w:val="both"/>
      </w:pPr>
      <w:r>
        <w:rPr>
          <w:rFonts w:ascii="Arial" w:cs="Arial" w:eastAsia="Arial" w:hAnsi="Arial"/>
          <w:sz w:val="21"/>
          <w:szCs w:val="21"/>
        </w:rPr>
        <w:t xml:space="preserve">A future B2B API surface (Phase 2/3 roadmap) built on the same underlying tracked dataset — a monetization path distinct from the direct-user product.</w:t>
      </w:r>
    </w:p>
    <w:p>
      <w:pPr>
        <w:pStyle w:val="Heading1"/>
        <w:spacing w:after="200" w:before="400"/>
      </w:pPr>
      <w:r>
        <w:t xml:space="preserve">5. Competitive &amp; Reference Landscape</w:t>
      </w:r>
    </w:p>
    <w:p>
      <w:pPr>
        <w:spacing w:after="160"/>
        <w:jc w:val="both"/>
      </w:pPr>
      <w:r>
        <w:rPr>
          <w:rFonts w:ascii="Arial" w:cs="Arial" w:eastAsia="Arial" w:hAnsi="Arial"/>
          <w:sz w:val="21"/>
          <w:szCs w:val="21"/>
        </w:rPr>
        <w:t xml:space="preserve">This product's shape (track metadata, alert on change, link out) is not a novel choice — it is the pattern every serious existing player in this space has converged on.</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986"/>
        <w:gridCol w:w="1805"/>
        <w:gridCol w:w="2708"/>
        <w:gridCol w:w="2527"/>
      </w:tblGrid>
      <w:tr>
        <w:trPr>
          <w:tblHeader/>
        </w:trPr>
        <w:tc>
          <w:tcPr>
            <w:tcW w:type="dxa" w:w="1986"/>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Product</w:t>
            </w:r>
          </w:p>
        </w:tc>
        <w:tc>
          <w:tcPr>
            <w:tcW w:type="dxa" w:w="1805"/>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Coverage</w:t>
            </w:r>
          </w:p>
        </w:tc>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Model</w:t>
            </w:r>
          </w:p>
        </w:tc>
        <w:tc>
          <w:tcPr>
            <w:tcW w:type="dxa" w:w="2527"/>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Gap This Product Targets</w:t>
            </w:r>
          </w:p>
        </w:tc>
      </w:tr>
      <w:tr>
        <w:tc>
          <w:tcPr>
            <w:tcW w:type="dxa" w:w="198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OpsGroup / SafeAirspace</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Global, member-curated</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Membership; per-country risk &amp; change references with citations, not hosted documents</w:t>
            </w:r>
          </w:p>
        </w:tc>
        <w:tc>
          <w:tcPr>
            <w:tcW w:type="dxa" w:w="2527"/>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Not AIRAC-cycle-systematic; curated by community/staff rather than automated per-cycle tracking</w:t>
            </w:r>
          </w:p>
        </w:tc>
      </w:tr>
      <w:tr>
        <w:tc>
          <w:tcPr>
            <w:tcW w:type="dxa" w:w="198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EUROCONTROL EAD / EAD Basic</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~56 ECAC/ECAC+ states</w:t>
            </w:r>
          </w:p>
        </w:tc>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Registration required; royalty/service charges for redistribution to third parties</w:t>
            </w:r>
          </w:p>
        </w:tc>
        <w:tc>
          <w:tcPr>
            <w:tcW w:type="dxa" w:w="2527"/>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Europe-only; not a global solution</w:t>
            </w:r>
          </w:p>
        </w:tc>
      </w:tr>
      <w:tr>
        <w:tc>
          <w:tcPr>
            <w:tcW w:type="dxa" w:w="198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AIR SUPPORT NOTAM Watch (OpsControl)</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NOTAM-focused</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Commercial dispatch software</w:t>
            </w:r>
          </w:p>
        </w:tc>
        <w:tc>
          <w:tcPr>
            <w:tcW w:type="dxa" w:w="2527"/>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NOTAM, not AIRAC AIP/SUP/AIC cycle-completeness</w:t>
            </w:r>
          </w:p>
        </w:tc>
      </w:tr>
      <w:tr>
        <w:tc>
          <w:tcPr>
            <w:tcW w:type="dxa" w:w="198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Jeppesen / Lido / vendor NavData</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Global</w:t>
            </w:r>
          </w:p>
        </w:tc>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Licensed, bundled into large flight-ops software suites</w:t>
            </w:r>
          </w:p>
        </w:tc>
        <w:tc>
          <w:tcPr>
            <w:tcW w:type="dxa" w:w="2527"/>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High cost, long procurement cycles; not accessible as a lightweight standalone tracker</w:t>
            </w:r>
          </w:p>
        </w:tc>
      </w:tr>
    </w:tbl>
    <w:p>
      <w:pPr>
        <w:pStyle w:val="Heading1"/>
        <w:spacing w:after="200" w:before="400"/>
      </w:pPr>
      <w:r>
        <w:t xml:space="preserve">6. Product Phasing Overview</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625"/>
        <w:gridCol w:w="4694"/>
        <w:gridCol w:w="2708"/>
      </w:tblGrid>
      <w:tr>
        <w:trPr>
          <w:tblHeader/>
        </w:trPr>
        <w:tc>
          <w:tcPr>
            <w:tcW w:type="dxa" w:w="1625"/>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Phase</w:t>
            </w:r>
          </w:p>
        </w:tc>
        <w:tc>
          <w:tcPr>
            <w:tcW w:type="dxa" w:w="4694"/>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Scope</w:t>
            </w:r>
          </w:p>
        </w:tc>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Legal Exposure</w:t>
            </w:r>
          </w:p>
        </w:tc>
      </w:tr>
      <w:tr>
        <w:tc>
          <w:tcPr>
            <w:tcW w:type="dxa" w:w="162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0 — Validate</w:t>
            </w:r>
          </w:p>
        </w:tc>
        <w:tc>
          <w:tcPr>
            <w:tcW w:type="dxa" w:w="4694"/>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Confirm cadence patterns for ~30 priority states; interview 10-15 target users</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None</w:t>
            </w:r>
          </w:p>
        </w:tc>
      </w:tr>
      <w:tr>
        <w:tc>
          <w:tcPr>
            <w:tcW w:type="dxa" w:w="162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1 — MVP Tracker (this PRD)</w:t>
            </w:r>
          </w:p>
        </w:tc>
        <w:tc>
          <w:tcPr>
            <w:tcW w:type="dxa" w:w="4694"/>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Metadata dashboard + deep links, free/presumed-free states only, cycle-completeness alerting</w:t>
            </w:r>
          </w:p>
        </w:tc>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Low — public info, no redistribution</w:t>
            </w:r>
          </w:p>
        </w:tc>
      </w:tr>
      <w:tr>
        <w:tc>
          <w:tcPr>
            <w:tcW w:type="dxa" w:w="162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2 — Bring-Your-Own-Credentials</w:t>
            </w:r>
          </w:p>
        </w:tc>
        <w:tc>
          <w:tcPr>
            <w:tcW w:type="dxa" w:w="4694"/>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Paid states, automated on each user's own subscribed access, not shared centrally</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Medium — verify each portal's ToS permits user-scoped automation</w:t>
            </w:r>
          </w:p>
        </w:tc>
      </w:tr>
      <w:tr>
        <w:tc>
          <w:tcPr>
            <w:tcW w:type="dxa" w:w="162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3 — Licensed Hosting</w:t>
            </w:r>
          </w:p>
        </w:tc>
        <w:tc>
          <w:tcPr>
            <w:tcW w:type="dxa" w:w="4694"/>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Bilateral/licensed agreements to host actual document content at scale</w:t>
            </w:r>
          </w:p>
        </w:tc>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High — multi-year, capital-intensive; treat as a separate future business decision</w:t>
            </w:r>
          </w:p>
        </w:tc>
      </w:tr>
    </w:tbl>
    <w:p>
      <w:pPr>
        <w:pStyle w:val="Heading1"/>
        <w:spacing w:after="200" w:before="400"/>
      </w:pPr>
      <w:r>
        <w:t xml:space="preserve">7. MVP Feature Specification (Phase 1)</w:t>
      </w:r>
    </w:p>
    <w:p>
      <w:pPr>
        <w:pStyle w:val="Heading2"/>
        <w:spacing w:after="150" w:before="300"/>
      </w:pPr>
      <w:r>
        <w:t xml:space="preserve">7.1 Feature Summary</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003"/>
        <w:gridCol w:w="6218"/>
        <w:gridCol w:w="1805"/>
      </w:tblGrid>
      <w:tr>
        <w:trPr>
          <w:tblHeader/>
        </w:trPr>
        <w:tc>
          <w:tcPr>
            <w:tcW w:type="dxa" w:w="1003"/>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ID</w:t>
            </w:r>
          </w:p>
        </w:tc>
        <w:tc>
          <w:tcPr>
            <w:tcW w:type="dxa" w:w="621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Feature</w:t>
            </w:r>
          </w:p>
        </w:tc>
        <w:tc>
          <w:tcPr>
            <w:tcW w:type="dxa" w:w="1805"/>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Priority</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State registry &amp; AIRAC cycle calendar (auto-generated, 24 months forward)</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F2</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Automated ingestion — Tier 1/2 (free / presumed-free) states</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F3</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Document metadata capture (country, type, number, dates, source URL, language)</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F4</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Cycle Completeness Dashboard (% of tracked states reported in, per cycle)</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F5</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Per-state anomaly detection against that state's own historical cadence</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F6</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Search &amp; filter (country / doc type / cycle / status / date range)</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F7</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Deep-link to authoritative source (no hosting)</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F8</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Email / Slack alert subscriptions (per country, per doc type, or anomalies-only)</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F9</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User accounts &amp; saved watchlists (e.g. "my route network")</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P0</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F10</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Bring-your-own-credentials automation for paid states (per-user scoped)</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P1</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F11</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OCR / translation flag for non-English source documents</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P1</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F12</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CSV / API export of tracked metadata</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P1</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F13</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Historical archive &amp; trend view per state</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P1</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F14</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Mobile-friendly dashboard</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P1</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F15</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Public B2B API for EFB / flight-planning vendors</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P2</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F16</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Licensed document hosting via bilateral state agreements</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P2</w:t>
            </w:r>
          </w:p>
        </w:tc>
      </w:tr>
      <w:tr>
        <w:tc>
          <w:tcPr>
            <w:tcW w:type="dxa" w:w="10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F17</w:t>
            </w:r>
          </w:p>
        </w:tc>
        <w:tc>
          <w:tcPr>
            <w:tcW w:type="dxa" w:w="62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Predictive "expected next publish window" per state (ML on cadence history)</w:t>
            </w:r>
          </w:p>
        </w:tc>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P2</w:t>
            </w:r>
          </w:p>
        </w:tc>
      </w:tr>
      <w:tr>
        <w:tc>
          <w:tcPr>
            <w:tcW w:type="dxa" w:w="10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F18</w:t>
            </w:r>
          </w:p>
        </w:tc>
        <w:tc>
          <w:tcPr>
            <w:tcW w:type="dxa" w:w="62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Multi-seat org accounts with role-based views (dispatcher vs. compliance)</w:t>
            </w:r>
          </w:p>
        </w:tc>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P2</w:t>
            </w:r>
          </w:p>
        </w:tc>
      </w:tr>
    </w:tbl>
    <w:p>
      <w:pPr>
        <w:pStyle w:val="Heading2"/>
        <w:spacing w:after="150" w:before="300"/>
      </w:pPr>
      <w:r>
        <w:t xml:space="preserve">7.2 Detailed P0 Feature Descriptions</w:t>
      </w:r>
    </w:p>
    <w:p>
      <w:pPr>
        <w:pStyle w:val="Heading3"/>
        <w:spacing w:after="100" w:before="200"/>
      </w:pPr>
      <w:r>
        <w:t xml:space="preserve">F1. State Registry &amp; AIRAC Cycle Calendar</w:t>
      </w:r>
    </w:p>
    <w:p>
      <w:pPr>
        <w:spacing w:after="100"/>
      </w:pPr>
      <w:r>
        <w:rPr>
          <w:rFonts w:ascii="Arial" w:cs="Arial" w:eastAsia="Arial" w:hAnsi="Arial"/>
          <w:b/>
          <w:bCs/>
          <w:sz w:val="21"/>
          <w:szCs w:val="21"/>
        </w:rPr>
        <w:t xml:space="preserve">User Story: </w:t>
      </w:r>
      <w:r>
        <w:rPr>
          <w:rFonts w:ascii="Arial" w:cs="Arial" w:eastAsia="Arial" w:hAnsi="Arial"/>
          <w:sz w:val="21"/>
          <w:szCs w:val="21"/>
        </w:rPr>
        <w:t xml:space="preserve">As a user, I want the system to know every current and upcoming AIRAC effective date so that tracking windows are automatic, not manually maintained.</w:t>
      </w:r>
    </w:p>
    <w:p>
      <w:pPr>
        <w:spacing w:after="60"/>
      </w:pPr>
      <w:r>
        <w:rPr>
          <w:rFonts w:ascii="Arial" w:cs="Arial" w:eastAsia="Arial" w:hAnsi="Arial"/>
          <w:b/>
          <w:bCs/>
          <w:sz w:val="21"/>
          <w:szCs w:val="21"/>
        </w:rPr>
        <w:t xml:space="preserve">Acceptance Criteria</w:t>
      </w:r>
    </w:p>
    <w:p>
      <w:pPr>
        <w:pStyle w:val="ListParagraph"/>
        <w:numPr>
          <w:ilvl w:val="0"/>
          <w:numId w:val="1"/>
        </w:numPr>
        <w:spacing w:after="80"/>
      </w:pPr>
      <w:r>
        <w:rPr>
          <w:rFonts w:ascii="Arial" w:cs="Arial" w:eastAsia="Arial" w:hAnsi="Arial"/>
          <w:sz w:val="21"/>
          <w:szCs w:val="21"/>
        </w:rPr>
        <w:t xml:space="preserve">System generates AIRAC effective dates on the fixed 28-day cadence, 24 months forward, without manual entry.</w:t>
      </w:r>
    </w:p>
    <w:p>
      <w:pPr>
        <w:pStyle w:val="ListParagraph"/>
        <w:numPr>
          <w:ilvl w:val="0"/>
          <w:numId w:val="1"/>
        </w:numPr>
        <w:spacing w:after="80"/>
      </w:pPr>
      <w:r>
        <w:rPr>
          <w:rFonts w:ascii="Arial" w:cs="Arial" w:eastAsia="Arial" w:hAnsi="Arial"/>
          <w:sz w:val="21"/>
          <w:szCs w:val="21"/>
        </w:rPr>
        <w:t xml:space="preserve">Each tracked state is linked to its source registry entry (see companion inventory workbook) including URL, access type, and ingestion tier.</w:t>
      </w:r>
    </w:p>
    <w:p>
      <w:pPr>
        <w:pStyle w:val="ListParagraph"/>
        <w:numPr>
          <w:ilvl w:val="0"/>
          <w:numId w:val="1"/>
        </w:numPr>
        <w:spacing w:after="80"/>
      </w:pPr>
      <w:r>
        <w:rPr>
          <w:rFonts w:ascii="Arial" w:cs="Arial" w:eastAsia="Arial" w:hAnsi="Arial"/>
          <w:sz w:val="21"/>
          <w:szCs w:val="21"/>
        </w:rPr>
        <w:t xml:space="preserve">Adding a new state to tracking requires no code change — registry-driven.</w:t>
      </w:r>
    </w:p>
    <w:p>
      <w:pPr>
        <w:pStyle w:val="Heading3"/>
        <w:spacing w:after="100" w:before="200"/>
      </w:pPr>
      <w:r>
        <w:t xml:space="preserve">F4. Cycle Completeness Dashboard</w:t>
      </w:r>
    </w:p>
    <w:p>
      <w:pPr>
        <w:spacing w:after="100"/>
      </w:pPr>
      <w:r>
        <w:rPr>
          <w:rFonts w:ascii="Arial" w:cs="Arial" w:eastAsia="Arial" w:hAnsi="Arial"/>
          <w:b/>
          <w:bCs/>
          <w:sz w:val="21"/>
          <w:szCs w:val="21"/>
        </w:rPr>
        <w:t xml:space="preserve">User Story: </w:t>
      </w:r>
      <w:r>
        <w:rPr>
          <w:rFonts w:ascii="Arial" w:cs="Arial" w:eastAsia="Arial" w:hAnsi="Arial"/>
          <w:sz w:val="21"/>
          <w:szCs w:val="21"/>
        </w:rPr>
        <w:t xml:space="preserve">As a dispatcher/compliance manager, I want to see, for the current AIRAC cycle, what percentage of my watchlisted states have reported in, so I know at a glance whether anything is still outstanding.</w:t>
      </w:r>
    </w:p>
    <w:p>
      <w:pPr>
        <w:spacing w:after="60"/>
      </w:pPr>
      <w:r>
        <w:rPr>
          <w:rFonts w:ascii="Arial" w:cs="Arial" w:eastAsia="Arial" w:hAnsi="Arial"/>
          <w:b/>
          <w:bCs/>
          <w:sz w:val="21"/>
          <w:szCs w:val="21"/>
        </w:rPr>
        <w:t xml:space="preserve">Acceptance Criteria</w:t>
      </w:r>
    </w:p>
    <w:p>
      <w:pPr>
        <w:pStyle w:val="ListParagraph"/>
        <w:numPr>
          <w:ilvl w:val="0"/>
          <w:numId w:val="1"/>
        </w:numPr>
        <w:spacing w:after="80"/>
      </w:pPr>
      <w:r>
        <w:rPr>
          <w:rFonts w:ascii="Arial" w:cs="Arial" w:eastAsia="Arial" w:hAnsi="Arial"/>
          <w:sz w:val="21"/>
          <w:szCs w:val="21"/>
        </w:rPr>
        <w:t xml:space="preserve">Dashboard shows current cycle, days remaining until effective date, and % of watchlisted states with at least one classified document or an explicit NIL for the cycle.</w:t>
      </w:r>
    </w:p>
    <w:p>
      <w:pPr>
        <w:pStyle w:val="ListParagraph"/>
        <w:numPr>
          <w:ilvl w:val="0"/>
          <w:numId w:val="1"/>
        </w:numPr>
        <w:spacing w:after="80"/>
      </w:pPr>
      <w:r>
        <w:rPr>
          <w:rFonts w:ascii="Arial" w:cs="Arial" w:eastAsia="Arial" w:hAnsi="Arial"/>
          <w:sz w:val="21"/>
          <w:szCs w:val="21"/>
        </w:rPr>
        <w:t xml:space="preserve">States with no activity are distinguished as "nothing expected" vs. "expected but overdue" using each state's historical baseline (see F5).</w:t>
      </w:r>
    </w:p>
    <w:p>
      <w:pPr>
        <w:pStyle w:val="ListParagraph"/>
        <w:numPr>
          <w:ilvl w:val="0"/>
          <w:numId w:val="1"/>
        </w:numPr>
        <w:spacing w:after="80"/>
      </w:pPr>
      <w:r>
        <w:rPr>
          <w:rFonts w:ascii="Arial" w:cs="Arial" w:eastAsia="Arial" w:hAnsi="Arial"/>
          <w:sz w:val="21"/>
          <w:szCs w:val="21"/>
        </w:rPr>
        <w:t xml:space="preserve">Drill-down from the percentage shows the underlying per-state list.</w:t>
      </w:r>
    </w:p>
    <w:p>
      <w:pPr>
        <w:pStyle w:val="Heading3"/>
        <w:spacing w:after="100" w:before="200"/>
      </w:pPr>
      <w:r>
        <w:t xml:space="preserve">F5. Per-State Anomaly Detection</w:t>
      </w:r>
    </w:p>
    <w:p>
      <w:pPr>
        <w:spacing w:after="100"/>
      </w:pPr>
      <w:r>
        <w:rPr>
          <w:rFonts w:ascii="Arial" w:cs="Arial" w:eastAsia="Arial" w:hAnsi="Arial"/>
          <w:b/>
          <w:bCs/>
          <w:sz w:val="21"/>
          <w:szCs w:val="21"/>
        </w:rPr>
        <w:t xml:space="preserve">User Story: </w:t>
      </w:r>
      <w:r>
        <w:rPr>
          <w:rFonts w:ascii="Arial" w:cs="Arial" w:eastAsia="Arial" w:hAnsi="Arial"/>
          <w:sz w:val="21"/>
          <w:szCs w:val="21"/>
        </w:rPr>
        <w:t xml:space="preserve">As a compliance manager, I want to be alerted only when a state deviates from its own normal publishing pattern, not every time a state happens to have nothing to publish.</w:t>
      </w:r>
    </w:p>
    <w:p>
      <w:pPr>
        <w:spacing w:after="60"/>
      </w:pPr>
      <w:r>
        <w:rPr>
          <w:rFonts w:ascii="Arial" w:cs="Arial" w:eastAsia="Arial" w:hAnsi="Arial"/>
          <w:b/>
          <w:bCs/>
          <w:sz w:val="21"/>
          <w:szCs w:val="21"/>
        </w:rPr>
        <w:t xml:space="preserve">Acceptance Criteria</w:t>
      </w:r>
    </w:p>
    <w:p>
      <w:pPr>
        <w:pStyle w:val="ListParagraph"/>
        <w:numPr>
          <w:ilvl w:val="0"/>
          <w:numId w:val="1"/>
        </w:numPr>
        <w:spacing w:after="80"/>
      </w:pPr>
      <w:r>
        <w:rPr>
          <w:rFonts w:ascii="Arial" w:cs="Arial" w:eastAsia="Arial" w:hAnsi="Arial"/>
          <w:sz w:val="21"/>
          <w:szCs w:val="21"/>
        </w:rPr>
        <w:t xml:space="preserve">System maintains a rolling baseline (e.g. published in N of the last 10 cycles) per state and document type.</w:t>
      </w:r>
    </w:p>
    <w:p>
      <w:pPr>
        <w:pStyle w:val="ListParagraph"/>
        <w:numPr>
          <w:ilvl w:val="0"/>
          <w:numId w:val="1"/>
        </w:numPr>
        <w:spacing w:after="80"/>
      </w:pPr>
      <w:r>
        <w:rPr>
          <w:rFonts w:ascii="Arial" w:cs="Arial" w:eastAsia="Arial" w:hAnsi="Arial"/>
          <w:sz w:val="21"/>
          <w:szCs w:val="21"/>
        </w:rPr>
        <w:t xml:space="preserve">A state is flagged "overdue-anomaly" only when it deviates from its own baseline, not against a universal expectation.</w:t>
      </w:r>
    </w:p>
    <w:p>
      <w:pPr>
        <w:pStyle w:val="ListParagraph"/>
        <w:numPr>
          <w:ilvl w:val="0"/>
          <w:numId w:val="1"/>
        </w:numPr>
        <w:spacing w:after="80"/>
      </w:pPr>
      <w:r>
        <w:rPr>
          <w:rFonts w:ascii="Arial" w:cs="Arial" w:eastAsia="Arial" w:hAnsi="Arial"/>
          <w:sz w:val="21"/>
          <w:szCs w:val="21"/>
        </w:rPr>
        <w:t xml:space="preserve">False-positive rate is tracked as a product metric (see Section 12).</w:t>
      </w:r>
    </w:p>
    <w:p>
      <w:pPr>
        <w:pStyle w:val="Heading3"/>
        <w:spacing w:after="100" w:before="200"/>
      </w:pPr>
      <w:r>
        <w:t xml:space="preserve">F7. Deep-Link to Authoritative Source (No Hosting)</w:t>
      </w:r>
    </w:p>
    <w:p>
      <w:pPr>
        <w:spacing w:after="100"/>
      </w:pPr>
      <w:r>
        <w:rPr>
          <w:rFonts w:ascii="Arial" w:cs="Arial" w:eastAsia="Arial" w:hAnsi="Arial"/>
          <w:b/>
          <w:bCs/>
          <w:sz w:val="21"/>
          <w:szCs w:val="21"/>
        </w:rPr>
        <w:t xml:space="preserve">User Story: </w:t>
      </w:r>
      <w:r>
        <w:rPr>
          <w:rFonts w:ascii="Arial" w:cs="Arial" w:eastAsia="Arial" w:hAnsi="Arial"/>
          <w:sz w:val="21"/>
          <w:szCs w:val="21"/>
        </w:rPr>
        <w:t xml:space="preserve">As a user, I want a direct link to the official government/ANSP page for any tracked document, so I always read the authoritative version.</w:t>
      </w:r>
    </w:p>
    <w:p>
      <w:pPr>
        <w:spacing w:after="60"/>
      </w:pPr>
      <w:r>
        <w:rPr>
          <w:rFonts w:ascii="Arial" w:cs="Arial" w:eastAsia="Arial" w:hAnsi="Arial"/>
          <w:b/>
          <w:bCs/>
          <w:sz w:val="21"/>
          <w:szCs w:val="21"/>
        </w:rPr>
        <w:t xml:space="preserve">Acceptance Criteria</w:t>
      </w:r>
    </w:p>
    <w:p>
      <w:pPr>
        <w:pStyle w:val="ListParagraph"/>
        <w:numPr>
          <w:ilvl w:val="0"/>
          <w:numId w:val="1"/>
        </w:numPr>
        <w:spacing w:after="80"/>
      </w:pPr>
      <w:r>
        <w:rPr>
          <w:rFonts w:ascii="Arial" w:cs="Arial" w:eastAsia="Arial" w:hAnsi="Arial"/>
          <w:sz w:val="21"/>
          <w:szCs w:val="21"/>
        </w:rPr>
        <w:t xml:space="preserve">Every tracked document record includes a working deep link to the source state's page.</w:t>
      </w:r>
    </w:p>
    <w:p>
      <w:pPr>
        <w:pStyle w:val="ListParagraph"/>
        <w:numPr>
          <w:ilvl w:val="0"/>
          <w:numId w:val="1"/>
        </w:numPr>
        <w:spacing w:after="80"/>
      </w:pPr>
      <w:r>
        <w:rPr>
          <w:rFonts w:ascii="Arial" w:cs="Arial" w:eastAsia="Arial" w:hAnsi="Arial"/>
          <w:sz w:val="21"/>
          <w:szCs w:val="21"/>
        </w:rPr>
        <w:t xml:space="preserve">The system stores metadata only (title, number, dates); it does not cache, mirror, or re-serve the underlying PDF/HTML content in this release.</w:t>
      </w:r>
    </w:p>
    <w:p>
      <w:pPr>
        <w:pStyle w:val="ListParagraph"/>
        <w:numPr>
          <w:ilvl w:val="0"/>
          <w:numId w:val="1"/>
        </w:numPr>
        <w:spacing w:after="80"/>
      </w:pPr>
      <w:r>
        <w:rPr>
          <w:rFonts w:ascii="Arial" w:cs="Arial" w:eastAsia="Arial" w:hAnsi="Arial"/>
          <w:sz w:val="21"/>
          <w:szCs w:val="21"/>
        </w:rPr>
        <w:t xml:space="preserve">Broken/changed source links are flagged for review rather than silently failing.</w:t>
      </w:r>
    </w:p>
    <w:p>
      <w:pPr>
        <w:pStyle w:val="Heading1"/>
        <w:spacing w:after="200" w:before="400"/>
      </w:pPr>
      <w:r>
        <w:t xml:space="preserve">8. Data Model</w:t>
      </w:r>
    </w:p>
    <w:p>
      <w:pPr>
        <w:spacing w:after="160"/>
        <w:jc w:val="both"/>
      </w:pPr>
      <w:r>
        <w:rPr>
          <w:rFonts w:ascii="Arial" w:cs="Arial" w:eastAsia="Arial" w:hAnsi="Arial"/>
          <w:sz w:val="21"/>
          <w:szCs w:val="21"/>
        </w:rPr>
        <w:t xml:space="preserve">Core entities for the Phase 1 tracker. Field lists are representative, not exhaustive.</w:t>
      </w:r>
    </w:p>
    <w:p>
      <w:pPr>
        <w:pStyle w:val="Heading3"/>
        <w:spacing w:after="100" w:before="200"/>
      </w:pPr>
      <w:r>
        <w:t xml:space="preserve">State</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6318"/>
      </w:tblGrid>
      <w:tr>
        <w:trPr>
          <w:tblHeader/>
        </w:trPr>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31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Notes</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state_id (PK)</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country_name, icao_prefix</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e.g. "United Kingdom", "EG"</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region</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AFI / APAC / EUR-NAT / MID / NACC / SAM, per companion inventory</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source_url</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Authoritative AIS/eAIP URL</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access_type</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Free (Verified) / Likely Free / Login Required / Paid / Restricted</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ingestion_tier</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1 = structured/API, 2 = free HTML/PDF scrape, 3 = paid/BYO-credential</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shared_source_group</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Links states sharing one ingestion connector (e.g. ASECNA)</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language, publish_cadence_baseline</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For anomaly detection (F5)</w:t>
            </w:r>
          </w:p>
        </w:tc>
      </w:tr>
    </w:tbl>
    <w:p>
      <w:pPr>
        <w:pStyle w:val="Heading3"/>
        <w:spacing w:after="100" w:before="200"/>
      </w:pPr>
      <w:r>
        <w:t xml:space="preserve">AIRACCycle</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6318"/>
      </w:tblGrid>
      <w:tr>
        <w:trPr>
          <w:tblHeader/>
        </w:trPr>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31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Notes</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cycle_id (PK)</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e.g. "2607"</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effective_date</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Fixed 28-day cadence, ICAO-published</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publish_window_start / end</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T-56 / T-28 nominal window</w:t>
            </w:r>
          </w:p>
        </w:tc>
      </w:tr>
    </w:tbl>
    <w:p>
      <w:pPr>
        <w:pStyle w:val="Heading3"/>
        <w:spacing w:after="100" w:before="200"/>
      </w:pPr>
      <w:r>
        <w:t xml:space="preserve">Document</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6318"/>
      </w:tblGrid>
      <w:tr>
        <w:trPr>
          <w:tblHeader/>
        </w:trPr>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31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Notes</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document_id (PK)</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state_id (FK), cycle_id (FK)</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doc_type</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AIRAC_AMDT / NON_AIRAC_AMDT / AIP_SUP / AIC</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series, number, title</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publish_date, effective_date</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source_url</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Deep link to the specific document</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language, needs_translation_flag</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bl>
    <w:p>
      <w:pPr>
        <w:pStyle w:val="Heading3"/>
        <w:spacing w:after="100" w:before="200"/>
      </w:pPr>
      <w:r>
        <w:t xml:space="preserve">WatchStatus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6318"/>
      </w:tblGrid>
      <w:tr>
        <w:trPr>
          <w:tblHeader/>
        </w:trPr>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Field</w:t>
            </w:r>
          </w:p>
        </w:tc>
        <w:tc>
          <w:tcPr>
            <w:tcW w:type="dxa" w:w="631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Notes</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state_id (FK), cycle_id (FK)</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status</w:t>
            </w:r>
          </w:p>
        </w:tc>
        <w:tc>
          <w:tcPr>
            <w:tcW w:type="dxa" w:w="631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published / pending / nil / overdue-anomaly</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baseline_snapshot</w:t>
            </w:r>
          </w:p>
        </w:tc>
        <w:tc>
          <w:tcPr>
            <w:tcW w:type="dxa" w:w="631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Historical cadence value used for this cycle's anomaly call</w:t>
            </w:r>
          </w:p>
        </w:tc>
      </w:tr>
    </w:tbl>
    <w:p>
      <w:pPr>
        <w:pStyle w:val="Heading3"/>
        <w:spacing w:after="100" w:before="200"/>
      </w:pPr>
      <w:r>
        <w:t xml:space="preserve">User, Watchlist, AlertSubscription</w:t>
      </w:r>
    </w:p>
    <w:p>
      <w:pPr>
        <w:spacing w:after="160"/>
        <w:jc w:val="both"/>
      </w:pPr>
      <w:r>
        <w:rPr>
          <w:rFonts w:ascii="Arial" w:cs="Arial" w:eastAsia="Arial" w:hAnsi="Arial"/>
          <w:sz w:val="21"/>
          <w:szCs w:val="21"/>
        </w:rPr>
        <w:t xml:space="preserve">Standard account/watchlist/alert-preference entities — user has many watchlists, a watchlist has many states, an alert subscription scopes a watchlist to a channel (email/Slack) and a trigger type (new document / anomaly only / all activity).</w:t>
      </w:r>
    </w:p>
    <w:p>
      <w:pPr>
        <w:pStyle w:val="Heading1"/>
        <w:spacing w:after="200" w:before="400"/>
      </w:pPr>
      <w:r>
        <w:t xml:space="preserve">9. System Architecture Overview</w:t>
      </w:r>
    </w:p>
    <w:p>
      <w:pPr>
        <w:pStyle w:val="Heading2"/>
        <w:spacing w:after="150" w:before="300"/>
      </w:pPr>
      <w:r>
        <w:t xml:space="preserve">9.1 Ingestion Tiers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264"/>
        <w:gridCol w:w="3610"/>
        <w:gridCol w:w="4152"/>
      </w:tblGrid>
      <w:tr>
        <w:trPr>
          <w:tblHeader/>
        </w:trPr>
        <w:tc>
          <w:tcPr>
            <w:tcW w:type="dxa" w:w="1264"/>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Tier</w:t>
            </w:r>
          </w:p>
        </w:tc>
        <w:tc>
          <w:tcPr>
            <w:tcW w:type="dxa" w:w="361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Example</w:t>
            </w:r>
          </w:p>
        </w:tc>
        <w:tc>
          <w:tcPr>
            <w:tcW w:type="dxa" w:w="4152"/>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Approach</w:t>
            </w:r>
          </w:p>
        </w:tc>
      </w:tr>
      <w:tr>
        <w:tc>
          <w:tcPr>
            <w:tcW w:type="dxa" w:w="1264"/>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1 — Structured/API</w:t>
            </w:r>
          </w:p>
        </w:tc>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EAD, digital-AIM states</w:t>
            </w:r>
          </w:p>
        </w:tc>
        <w:tc>
          <w:tcPr>
            <w:tcW w:type="dxa" w:w="4152"/>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Direct API/AIXM feed where license permits</w:t>
            </w:r>
          </w:p>
        </w:tc>
      </w:tr>
      <w:tr>
        <w:tc>
          <w:tcPr>
            <w:tcW w:type="dxa" w:w="1264"/>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2 — Free HTML/PDF</w:t>
            </w:r>
          </w:p>
        </w:tc>
        <w:tc>
          <w:tcPr>
            <w:tcW w:type="dxa" w:w="361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Most free/presumed-free states (majority of the 220-state inventory)</w:t>
            </w:r>
          </w:p>
        </w:tc>
        <w:tc>
          <w:tcPr>
            <w:tcW w:type="dxa" w:w="4152"/>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Scheduled scraper + per-state metadata parser</w:t>
            </w:r>
          </w:p>
        </w:tc>
      </w:tr>
      <w:tr>
        <w:tc>
          <w:tcPr>
            <w:tcW w:type="dxa" w:w="1264"/>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3 — Paid, user's-own-credentials</w:t>
            </w:r>
          </w:p>
        </w:tc>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Confirmed paid or login-gated states</w:t>
            </w:r>
          </w:p>
        </w:tc>
        <w:tc>
          <w:tcPr>
            <w:tcW w:type="dxa" w:w="4152"/>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User supplies their own org credentials; automation scoped to that user's session only (Phase 2, not this release)</w:t>
            </w:r>
          </w:p>
        </w:tc>
      </w:tr>
    </w:tbl>
    <w:p>
      <w:pPr>
        <w:pStyle w:val="Heading2"/>
        <w:spacing w:after="150" w:before="300"/>
      </w:pPr>
      <w:r>
        <w:t xml:space="preserve">9.2 Build Sequencing (from companion inventory workbook)</w:t>
      </w:r>
    </w:p>
    <w:p>
      <w:pPr>
        <w:spacing w:after="160"/>
        <w:jc w:val="both"/>
      </w:pPr>
      <w:r>
        <w:rPr>
          <w:rFonts w:ascii="Arial" w:cs="Arial" w:eastAsia="Arial" w:hAnsi="Arial"/>
          <w:sz w:val="21"/>
          <w:szCs w:val="21"/>
        </w:rPr>
        <w:t xml:space="preserve">The companion state-inventory workbook classifies all 220 currently-listed states/territories and recommends a region-by-region build order, front-loading the highest-leverage shared sources:</w:t>
      </w:r>
    </w:p>
    <w:p>
      <w:pPr>
        <w:pStyle w:val="ListParagraph"/>
        <w:numPr>
          <w:ilvl w:val="0"/>
          <w:numId w:val="1"/>
        </w:numPr>
        <w:spacing w:after="80"/>
      </w:pPr>
      <w:r>
        <w:rPr>
          <w:rFonts w:ascii="Arial" w:cs="Arial" w:eastAsia="Arial" w:hAnsi="Arial"/>
          <w:sz w:val="21"/>
          <w:szCs w:val="21"/>
        </w:rPr>
        <w:t xml:space="preserve">Single connectors that cover many states at once should be built first: ASECNA (18 African states via two portals), Trinidad &amp; Tobago CAA (10 Eastern Caribbean states), COCESNA (6 Central American states), and the Dutch Caribbean ANSP (6 territories).</w:t>
      </w:r>
    </w:p>
    <w:p>
      <w:pPr>
        <w:pStyle w:val="ListParagraph"/>
        <w:numPr>
          <w:ilvl w:val="0"/>
          <w:numId w:val="1"/>
        </w:numPr>
        <w:spacing w:after="80"/>
      </w:pPr>
      <w:r>
        <w:rPr>
          <w:rFonts w:ascii="Arial" w:cs="Arial" w:eastAsia="Arial" w:hAnsi="Arial"/>
          <w:sz w:val="21"/>
          <w:szCs w:val="21"/>
        </w:rPr>
        <w:t xml:space="preserve">Recommended region sequence: North &amp; Central America → Europe → Africa (ASECNA block first) → Middle East → Asia &amp; Pacific (major markets first, defer paid Pacific micro-states) → South America. Rationale and live counts are in the workbook's "Region Rollout Plan" tab.</w:t>
      </w:r>
    </w:p>
    <w:p>
      <w:pPr>
        <w:pStyle w:val="ListParagraph"/>
        <w:numPr>
          <w:ilvl w:val="0"/>
          <w:numId w:val="1"/>
        </w:numPr>
        <w:spacing w:after="80"/>
      </w:pPr>
      <w:r>
        <w:rPr>
          <w:rFonts w:ascii="Arial" w:cs="Arial" w:eastAsia="Arial" w:hAnsi="Arial"/>
          <w:sz w:val="21"/>
          <w:szCs w:val="21"/>
        </w:rPr>
        <w:t xml:space="preserve">8 states (Pacific micro-states via a single commercial reseller) are confirmed paid and explicitly excluded from Phase 1 per current direction.</w:t>
      </w:r>
    </w:p>
    <w:p>
      <w:pPr>
        <w:pStyle w:val="ListParagraph"/>
        <w:numPr>
          <w:ilvl w:val="0"/>
          <w:numId w:val="1"/>
        </w:numPr>
        <w:spacing w:after="80"/>
      </w:pPr>
      <w:r>
        <w:rPr>
          <w:rFonts w:ascii="Arial" w:cs="Arial" w:eastAsia="Arial" w:hAnsi="Arial"/>
          <w:sz w:val="21"/>
          <w:szCs w:val="21"/>
        </w:rPr>
        <w:t xml:space="preserve">16 states currently have no verified source or a source that looks internal/restricted rather than official — tracked as an open research backlog in the workbook's "Needs Research" tab.</w:t>
      </w:r>
    </w:p>
    <w:p>
      <w:pPr>
        <w:pStyle w:val="Heading2"/>
        <w:spacing w:after="150" w:before="300"/>
      </w:pPr>
      <w:r>
        <w:t xml:space="preserve">9.3 Scheduler Logic</w:t>
      </w:r>
    </w:p>
    <w:p>
      <w:pPr>
        <w:spacing w:after="160"/>
        <w:jc w:val="both"/>
      </w:pPr>
      <w:r>
        <w:rPr>
          <w:rFonts w:ascii="Arial" w:cs="Arial" w:eastAsia="Arial" w:hAnsi="Arial"/>
          <w:sz w:val="21"/>
          <w:szCs w:val="21"/>
        </w:rPr>
        <w:t xml:space="preserve">Since AIRAC effective dates follow a fixed, ICAO-published 28-day cadence, the calendar is generated programmatically rather than maintained by hand. Polling frequency increases as each cycle's effective date approaches: light polling from T-56, increasing from T-28, with anomaly flags triggered for states overdue relative to their own historical baseline as the window closes.</w:t>
      </w:r>
    </w:p>
    <w:p>
      <w:pPr>
        <w:pStyle w:val="Heading1"/>
        <w:spacing w:after="200" w:before="400"/>
      </w:pPr>
      <w:r>
        <w:t xml:space="preserve">10. Non-Functional Requirements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986"/>
        <w:gridCol w:w="7040"/>
      </w:tblGrid>
      <w:tr>
        <w:trPr>
          <w:tblHeader/>
        </w:trPr>
        <w:tc>
          <w:tcPr>
            <w:tcW w:type="dxa" w:w="1986"/>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Category</w:t>
            </w:r>
          </w:p>
        </w:tc>
        <w:tc>
          <w:tcPr>
            <w:tcW w:type="dxa" w:w="704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Requirement</w:t>
            </w:r>
          </w:p>
        </w:tc>
      </w:tr>
      <w:tr>
        <w:tc>
          <w:tcPr>
            <w:tcW w:type="dxa" w:w="198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Data freshness</w:t>
            </w:r>
          </w:p>
        </w:tc>
        <w:tc>
          <w:tcPr>
            <w:tcW w:type="dxa" w:w="704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New source documents reflected in-product within 24 hours of publication for Tier 1/2 states</w:t>
            </w:r>
          </w:p>
        </w:tc>
      </w:tr>
      <w:tr>
        <w:tc>
          <w:tcPr>
            <w:tcW w:type="dxa" w:w="198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Reliability</w:t>
            </w:r>
          </w:p>
        </w:tc>
        <w:tc>
          <w:tcPr>
            <w:tcW w:type="dxa" w:w="704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Per-state scraper failures alert engineering within 1 hour rather than failing silently</w:t>
            </w:r>
          </w:p>
        </w:tc>
      </w:tr>
      <w:tr>
        <w:tc>
          <w:tcPr>
            <w:tcW w:type="dxa" w:w="198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Security</w:t>
            </w:r>
          </w:p>
        </w:tc>
        <w:tc>
          <w:tcPr>
            <w:tcW w:type="dxa" w:w="704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Any future stored user credentials (Phase 2) encrypted at rest, scoped per-user, never shared across accounts</w:t>
            </w:r>
          </w:p>
        </w:tc>
      </w:tr>
      <w:tr>
        <w:tc>
          <w:tcPr>
            <w:tcW w:type="dxa" w:w="198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Auditability</w:t>
            </w:r>
          </w:p>
        </w:tc>
        <w:tc>
          <w:tcPr>
            <w:tcW w:type="dxa" w:w="704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Every WatchStatus change retains a timestamped history for compliance-use personas (e.g. Marcus, Section 4)</w:t>
            </w:r>
          </w:p>
        </w:tc>
      </w:tr>
      <w:tr>
        <w:tc>
          <w:tcPr>
            <w:tcW w:type="dxa" w:w="198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Availability</w:t>
            </w:r>
          </w:p>
        </w:tc>
        <w:tc>
          <w:tcPr>
            <w:tcW w:type="dxa" w:w="704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Dashboard read path independent of scraper health — a broken connector degrades that state's data, not the product</w:t>
            </w:r>
          </w:p>
        </w:tc>
      </w:tr>
    </w:tbl>
    <w:p>
      <w:pPr>
        <w:pStyle w:val="Heading1"/>
        <w:spacing w:after="200" w:before="400"/>
      </w:pPr>
      <w:r>
        <w:t xml:space="preserve">11. Legal &amp; Compliance Considerations</w:t>
      </w:r>
    </w:p>
    <w:p>
      <w:pPr>
        <w:spacing w:after="160"/>
        <w:jc w:val="both"/>
      </w:pPr>
      <w:r>
        <w:rPr>
          <w:rFonts w:ascii="Arial" w:cs="Arial" w:eastAsia="Arial" w:hAnsi="Arial"/>
          <w:sz w:val="21"/>
          <w:szCs w:val="21"/>
        </w:rPr>
        <w:t xml:space="preserve">This section is a working summary, not legal advice — have counsel review before Phase 2/3 commitments.</w:t>
      </w:r>
    </w:p>
    <w:p>
      <w:pPr>
        <w:pStyle w:val="ListParagraph"/>
        <w:numPr>
          <w:ilvl w:val="0"/>
          <w:numId w:val="1"/>
        </w:numPr>
        <w:spacing w:after="80"/>
      </w:pPr>
      <w:r>
        <w:rPr>
          <w:rFonts w:ascii="Arial" w:cs="Arial" w:eastAsia="Arial" w:hAnsi="Arial"/>
          <w:b/>
          <w:bCs/>
          <w:sz w:val="21"/>
          <w:szCs w:val="21"/>
        </w:rPr>
        <w:t xml:space="preserve">Copyright: </w:t>
      </w:r>
      <w:r>
        <w:rPr>
          <w:rFonts w:ascii="Arial" w:cs="Arial" w:eastAsia="Arial" w:hAnsi="Arial"/>
          <w:sz w:val="21"/>
          <w:szCs w:val="21"/>
        </w:rPr>
        <w:t xml:space="preserve">AIP content is state-owned; several states' published terms explicitly restrict reproduction, redistribution, or commercial use even where the content is freely viewable (Airservices Australia's copyright notice is a concrete example: viewing is permitted, but redistribution or commercial exploitation requires a separate license and, for commercial data products, royalties).</w:t>
      </w:r>
    </w:p>
    <w:p>
      <w:pPr>
        <w:pStyle w:val="ListParagraph"/>
        <w:numPr>
          <w:ilvl w:val="0"/>
          <w:numId w:val="1"/>
        </w:numPr>
        <w:spacing w:after="80"/>
      </w:pPr>
      <w:r>
        <w:rPr>
          <w:rFonts w:ascii="Arial" w:cs="Arial" w:eastAsia="Arial" w:hAnsi="Arial"/>
          <w:b/>
          <w:bCs/>
          <w:sz w:val="21"/>
          <w:szCs w:val="21"/>
        </w:rPr>
        <w:t xml:space="preserve">Regional precedent: </w:t>
      </w:r>
      <w:r>
        <w:rPr>
          <w:rFonts w:ascii="Arial" w:cs="Arial" w:eastAsia="Arial" w:hAnsi="Arial"/>
          <w:sz w:val="21"/>
          <w:szCs w:val="21"/>
        </w:rPr>
        <w:t xml:space="preserve">EUROCONTROL's EAD — the only entity operating at this pattern's scale today — charges service and royalty fees specifically when its data is redistributed to third-party end users, and required two decades of bilateral state agreements to reach ~56 states. This is the reference point for what Phase 3 (licensed hosting) would actually require.</w:t>
      </w:r>
    </w:p>
    <w:p>
      <w:pPr>
        <w:pStyle w:val="ListParagraph"/>
        <w:numPr>
          <w:ilvl w:val="0"/>
          <w:numId w:val="1"/>
        </w:numPr>
        <w:spacing w:after="80"/>
      </w:pPr>
      <w:r>
        <w:rPr>
          <w:rFonts w:ascii="Arial" w:cs="Arial" w:eastAsia="Arial" w:hAnsi="Arial"/>
          <w:b/>
          <w:bCs/>
          <w:sz w:val="21"/>
          <w:szCs w:val="21"/>
        </w:rPr>
        <w:t xml:space="preserve">Paid/credentialed states: </w:t>
      </w:r>
      <w:r>
        <w:rPr>
          <w:rFonts w:ascii="Arial" w:cs="Arial" w:eastAsia="Arial" w:hAnsi="Arial"/>
          <w:sz w:val="21"/>
          <w:szCs w:val="21"/>
        </w:rPr>
        <w:t xml:space="preserve">Automating access with shared or centrally-held credentials against a paid portal is a Terms-of-Service risk. Phase 2's bring-your-own-credentials design (each user automates only their own already-licensed access) is the intended mitigation — confirm against each portal's actual ToS before enabling a given state.</w:t>
      </w:r>
    </w:p>
    <w:p>
      <w:pPr>
        <w:pStyle w:val="ListParagraph"/>
        <w:numPr>
          <w:ilvl w:val="0"/>
          <w:numId w:val="1"/>
        </w:numPr>
        <w:spacing w:after="80"/>
      </w:pPr>
      <w:r>
        <w:rPr>
          <w:rFonts w:ascii="Arial" w:cs="Arial" w:eastAsia="Arial" w:hAnsi="Arial"/>
          <w:b/>
          <w:bCs/>
          <w:sz w:val="21"/>
          <w:szCs w:val="21"/>
        </w:rPr>
        <w:t xml:space="preserve">This release's mitigation: </w:t>
      </w:r>
      <w:r>
        <w:rPr>
          <w:rFonts w:ascii="Arial" w:cs="Arial" w:eastAsia="Arial" w:hAnsi="Arial"/>
          <w:sz w:val="21"/>
          <w:szCs w:val="21"/>
        </w:rPr>
        <w:t xml:space="preserve">Phase 1 avoids the issue structurally: metadata + deep link only, no hosting or redistribution of source content.</w:t>
      </w:r>
    </w:p>
    <w:p>
      <w:pPr>
        <w:pStyle w:val="Heading1"/>
        <w:spacing w:after="200" w:before="400"/>
      </w:pPr>
      <w:r>
        <w:t xml:space="preserve">12. Success Metrics / KPIs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3610"/>
        <w:gridCol w:w="5416"/>
      </w:tblGrid>
      <w:tr>
        <w:trPr>
          <w:tblHeader/>
        </w:trPr>
        <w:tc>
          <w:tcPr>
            <w:tcW w:type="dxa" w:w="361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Metric</w:t>
            </w:r>
          </w:p>
        </w:tc>
        <w:tc>
          <w:tcPr>
            <w:tcW w:type="dxa" w:w="5416"/>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Target (Phase 1)</w:t>
            </w:r>
          </w:p>
        </w:tc>
      </w:tr>
      <w:tr>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States actively tracked</w:t>
            </w:r>
          </w:p>
        </w:tc>
        <w:tc>
          <w:tcPr>
            <w:tcW w:type="dxa" w:w="541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30 by end of Phase 1 build-out, 80+ once Phase 1 backlog clears</w:t>
            </w:r>
          </w:p>
        </w:tc>
      </w:tr>
      <w:tr>
        <w:tc>
          <w:tcPr>
            <w:tcW w:type="dxa" w:w="361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Data freshness (median publish-to-tracked time)</w:t>
            </w:r>
          </w:p>
        </w:tc>
        <w:tc>
          <w:tcPr>
            <w:tcW w:type="dxa" w:w="541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&lt; 24 hours for Tier 1/2 states</w:t>
            </w:r>
          </w:p>
        </w:tc>
      </w:tr>
      <w:tr>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Anomaly flag precision</w:t>
            </w:r>
          </w:p>
        </w:tc>
        <w:tc>
          <w:tcPr>
            <w:tcW w:type="dxa" w:w="541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&gt; 85% of "overdue-anomaly" flags validated as true positives</w:t>
            </w:r>
          </w:p>
        </w:tc>
      </w:tr>
      <w:tr>
        <w:tc>
          <w:tcPr>
            <w:tcW w:type="dxa" w:w="361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User activation</w:t>
            </w:r>
          </w:p>
        </w:tc>
        <w:tc>
          <w:tcPr>
            <w:tcW w:type="dxa" w:w="541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 of new users who create at least one watchlist within 7 days</w:t>
            </w:r>
          </w:p>
        </w:tc>
      </w:tr>
      <w:tr>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Weekly active watchlists</w:t>
            </w:r>
          </w:p>
        </w:tc>
        <w:tc>
          <w:tcPr>
            <w:tcW w:type="dxa" w:w="541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Track as core engagement signal</w:t>
            </w:r>
          </w:p>
        </w:tc>
      </w:tr>
    </w:tbl>
    <w:p>
      <w:pPr>
        <w:pStyle w:val="Heading1"/>
        <w:spacing w:after="200" w:before="400"/>
      </w:pPr>
      <w:r>
        <w:t xml:space="preserve">13. Roadmap &amp; Milestones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903"/>
        <w:gridCol w:w="5596"/>
        <w:gridCol w:w="2527"/>
      </w:tblGrid>
      <w:tr>
        <w:trPr>
          <w:tblHeader/>
        </w:trPr>
        <w:tc>
          <w:tcPr>
            <w:tcW w:type="dxa" w:w="903"/>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Phase</w:t>
            </w:r>
          </w:p>
        </w:tc>
        <w:tc>
          <w:tcPr>
            <w:tcW w:type="dxa" w:w="5596"/>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Milestone</w:t>
            </w:r>
          </w:p>
        </w:tc>
        <w:tc>
          <w:tcPr>
            <w:tcW w:type="dxa" w:w="2527"/>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Relative Timeframe</w:t>
            </w:r>
          </w:p>
        </w:tc>
      </w:tr>
      <w:tr>
        <w:tc>
          <w:tcPr>
            <w:tcW w:type="dxa" w:w="9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0</w:t>
            </w:r>
          </w:p>
        </w:tc>
        <w:tc>
          <w:tcPr>
            <w:tcW w:type="dxa" w:w="559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Validate with 10-15 target users; confirm cadence baselines for top 30 states</w:t>
            </w:r>
          </w:p>
        </w:tc>
        <w:tc>
          <w:tcPr>
            <w:tcW w:type="dxa" w:w="2527"/>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Month 1</w:t>
            </w:r>
          </w:p>
        </w:tc>
      </w:tr>
      <w:tr>
        <w:tc>
          <w:tcPr>
            <w:tcW w:type="dxa" w:w="9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1</w:t>
            </w:r>
          </w:p>
        </w:tc>
        <w:tc>
          <w:tcPr>
            <w:tcW w:type="dxa" w:w="559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Ship tracker for North &amp; Central America + Europe (highest free-ratio regions)</w:t>
            </w:r>
          </w:p>
        </w:tc>
        <w:tc>
          <w:tcPr>
            <w:tcW w:type="dxa" w:w="2527"/>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Month 2-4</w:t>
            </w:r>
          </w:p>
        </w:tc>
      </w:tr>
      <w:tr>
        <w:tc>
          <w:tcPr>
            <w:tcW w:type="dxa" w:w="9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1</w:t>
            </w:r>
          </w:p>
        </w:tc>
        <w:tc>
          <w:tcPr>
            <w:tcW w:type="dxa" w:w="559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Extend to Africa (ASECNA block first), Middle East</w:t>
            </w:r>
          </w:p>
        </w:tc>
        <w:tc>
          <w:tcPr>
            <w:tcW w:type="dxa" w:w="2527"/>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Month 4-6</w:t>
            </w:r>
          </w:p>
        </w:tc>
      </w:tr>
      <w:tr>
        <w:tc>
          <w:tcPr>
            <w:tcW w:type="dxa" w:w="9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1</w:t>
            </w:r>
          </w:p>
        </w:tc>
        <w:tc>
          <w:tcPr>
            <w:tcW w:type="dxa" w:w="559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Extend to Asia &amp; Pacific major markets, South America</w:t>
            </w:r>
          </w:p>
        </w:tc>
        <w:tc>
          <w:tcPr>
            <w:tcW w:type="dxa" w:w="2527"/>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Month 6-8</w:t>
            </w:r>
          </w:p>
        </w:tc>
      </w:tr>
      <w:tr>
        <w:tc>
          <w:tcPr>
            <w:tcW w:type="dxa" w:w="903"/>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2</w:t>
            </w:r>
          </w:p>
        </w:tc>
        <w:tc>
          <w:tcPr>
            <w:tcW w:type="dxa" w:w="5596"/>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Bring-your-own-credentials automation for priority paid states</w:t>
            </w:r>
          </w:p>
        </w:tc>
        <w:tc>
          <w:tcPr>
            <w:tcW w:type="dxa" w:w="2527"/>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Month 8-12</w:t>
            </w:r>
          </w:p>
        </w:tc>
      </w:tr>
      <w:tr>
        <w:tc>
          <w:tcPr>
            <w:tcW w:type="dxa" w:w="903"/>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3</w:t>
            </w:r>
          </w:p>
        </w:tc>
        <w:tc>
          <w:tcPr>
            <w:tcW w:type="dxa" w:w="5596"/>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Evaluate licensed hosting partnerships (EAD-style bilateral agreements)</w:t>
            </w:r>
          </w:p>
        </w:tc>
        <w:tc>
          <w:tcPr>
            <w:tcW w:type="dxa" w:w="2527"/>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Month 12+, separate business case</w:t>
            </w:r>
          </w:p>
        </w:tc>
      </w:tr>
    </w:tbl>
    <w:p>
      <w:pPr>
        <w:pStyle w:val="Heading1"/>
        <w:spacing w:after="200" w:before="400"/>
      </w:pPr>
      <w:r>
        <w:t xml:space="preserve">14. Risks &amp; Open Questions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2708"/>
        <w:gridCol w:w="3610"/>
      </w:tblGrid>
      <w:tr>
        <w:trPr>
          <w:tblHeader/>
        </w:trPr>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Risk</w:t>
            </w:r>
          </w:p>
        </w:tc>
        <w:tc>
          <w:tcPr>
            <w:tcW w:type="dxa" w:w="2708"/>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Impact</w:t>
            </w:r>
          </w:p>
        </w:tc>
        <w:tc>
          <w:tcPr>
            <w:tcW w:type="dxa" w:w="3610"/>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Mitigation</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State site redesign silently breaks a scraper</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Data gap for that state</w:t>
            </w:r>
          </w:p>
        </w:tc>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Per-state adapter pattern, not one universal parser; failure alerting (Section 10)</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"LIKELY FREE (Unverified)" states turn out to require payment</w:t>
            </w:r>
          </w:p>
        </w:tc>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Legal exposure if scraped anyway</w:t>
            </w:r>
          </w:p>
        </w:tc>
        <w:tc>
          <w:tcPr>
            <w:tcW w:type="dxa" w:w="361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Manual verification pass before onboarding any state into automated ingestion (companion workbook's Status column tracks this)</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Anomaly detection false positives erode user trust</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Alert fatigue, churn</w:t>
            </w:r>
          </w:p>
        </w:tc>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Track precision metric (Section 12); tune baseline window per state</w:t>
            </w:r>
          </w:p>
        </w:tc>
      </w:tr>
      <w:tr>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Non-English source documents mis-parsed</w:t>
            </w:r>
          </w:p>
        </w:tc>
        <w:tc>
          <w:tcPr>
            <w:tcW w:type="dxa" w:w="2708"/>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Wrong or missing metadata for ~15-20% of states</w:t>
            </w:r>
          </w:p>
        </w:tc>
        <w:tc>
          <w:tcPr>
            <w:tcW w:type="dxa" w:w="3610"/>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Flag rather than silently mistranslate; route to manual review queue</w:t>
            </w:r>
          </w:p>
        </w:tc>
      </w:tr>
      <w:tr>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Open question</w:t>
            </w:r>
          </w:p>
        </w:tc>
        <w:tc>
          <w:tcPr>
            <w:tcW w:type="dxa" w:w="2708"/>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Should Europe be built via direct state-by-state scraping or a commercial arrangement with EUROCONTROL EAD instead?</w:t>
            </w:r>
          </w:p>
        </w:tc>
        <w:tc>
          <w:tcPr>
            <w:tcW w:type="dxa" w:w="3610"/>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Needs a build-vs-license decision before Phase 1 Europe work begins</w:t>
            </w:r>
          </w:p>
        </w:tc>
      </w:tr>
    </w:tbl>
    <w:p>
      <w:pPr>
        <w:pStyle w:val="Heading1"/>
        <w:spacing w:after="200" w:before="400"/>
      </w:pPr>
      <w:r>
        <w:t xml:space="preserve">Appendix A: Glossary</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805"/>
        <w:gridCol w:w="7221"/>
      </w:tblGrid>
      <w:tr>
        <w:trPr>
          <w:tblHeader/>
        </w:trPr>
        <w:tc>
          <w:tcPr>
            <w:tcW w:type="dxa" w:w="1805"/>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Term</w:t>
            </w:r>
          </w:p>
        </w:tc>
        <w:tc>
          <w:tcPr>
            <w:tcW w:type="dxa" w:w="7221"/>
            <w:shd w:fill="1F3864" w:val="clear"/>
            <w:tcMar>
              <w:top w:type="dxa" w:w="80"/>
              <w:left w:type="dxa" w:w="100"/>
              <w:bottom w:type="dxa" w:w="80"/>
              <w:right w:type="dxa" w:w="100"/>
            </w:tcMar>
            <w:vAlign w:val="center"/>
          </w:tcPr>
          <w:p>
            <w:pPr>
              <w:jc w:val="left"/>
            </w:pPr>
            <w:r>
              <w:rPr>
                <w:rFonts w:ascii="Arial" w:cs="Arial" w:eastAsia="Arial" w:hAnsi="Arial"/>
                <w:b/>
                <w:bCs/>
                <w:color w:val="FFFFFF"/>
                <w:sz w:val="19"/>
                <w:szCs w:val="19"/>
              </w:rPr>
              <w:t xml:space="preserve">Definition</w:t>
            </w:r>
          </w:p>
        </w:tc>
      </w:tr>
      <w:tr>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AIP</w:t>
            </w:r>
          </w:p>
        </w:tc>
        <w:tc>
          <w:tcPr>
            <w:tcW w:type="dxa" w:w="7221"/>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Aeronautical Information Publication — a state's primary publication of aeronautical information of a lasting character</w:t>
            </w:r>
          </w:p>
        </w:tc>
      </w:tr>
      <w:tr>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AIRAC</w:t>
            </w:r>
          </w:p>
        </w:tc>
        <w:tc>
          <w:tcPr>
            <w:tcW w:type="dxa" w:w="7221"/>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Aeronautical Information Regulation And Control — the ICAO system of common 28-day effective dates for operationally significant changes</w:t>
            </w:r>
          </w:p>
        </w:tc>
      </w:tr>
      <w:tr>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AIP SUP</w:t>
            </w:r>
          </w:p>
        </w:tc>
        <w:tc>
          <w:tcPr>
            <w:tcW w:type="dxa" w:w="7221"/>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AIP Supplement — temporary changes of long duration (3+ months) or containing extensive text/graphics</w:t>
            </w:r>
          </w:p>
        </w:tc>
      </w:tr>
      <w:tr>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AIC</w:t>
            </w:r>
          </w:p>
        </w:tc>
        <w:tc>
          <w:tcPr>
            <w:tcW w:type="dxa" w:w="7221"/>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Aeronautical Information Circular — administrative/explanatory notices, not tied to the AIRAC cycle</w:t>
            </w:r>
          </w:p>
        </w:tc>
      </w:tr>
      <w:tr>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AMDT</w:t>
            </w:r>
          </w:p>
        </w:tc>
        <w:tc>
          <w:tcPr>
            <w:tcW w:type="dxa" w:w="7221"/>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Amendment — AIRAC AMDT (operationally significant) or Non-AIRAC AMDT (administrative/editorial)</w:t>
            </w:r>
          </w:p>
        </w:tc>
      </w:tr>
      <w:tr>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ANSP</w:t>
            </w:r>
          </w:p>
        </w:tc>
        <w:tc>
          <w:tcPr>
            <w:tcW w:type="dxa" w:w="7221"/>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Air Navigation Service Provider</w:t>
            </w:r>
          </w:p>
        </w:tc>
      </w:tr>
      <w:tr>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AIS</w:t>
            </w:r>
          </w:p>
        </w:tc>
        <w:tc>
          <w:tcPr>
            <w:tcW w:type="dxa" w:w="7221"/>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Aeronautical Information Service — the state body responsible for publishing the above</w:t>
            </w:r>
          </w:p>
        </w:tc>
      </w:tr>
      <w:tr>
        <w:tc>
          <w:tcPr>
            <w:tcW w:type="dxa" w:w="1805"/>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EAD</w:t>
            </w:r>
          </w:p>
        </w:tc>
        <w:tc>
          <w:tcPr>
            <w:tcW w:type="dxa" w:w="7221"/>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European AIS Database — EUROCONTROL's centralized aeronautical data platform covering ~56 ECAC/ECAC+ states</w:t>
            </w:r>
          </w:p>
        </w:tc>
      </w:tr>
      <w:tr>
        <w:tc>
          <w:tcPr>
            <w:tcW w:type="dxa" w:w="1805"/>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ASECNA</w:t>
            </w:r>
          </w:p>
        </w:tc>
        <w:tc>
          <w:tcPr>
            <w:tcW w:type="dxa" w:w="7221"/>
            <w:tcMar>
              <w:top w:type="dxa" w:w="80"/>
              <w:left w:type="dxa" w:w="100"/>
              <w:bottom w:type="dxa" w:w="80"/>
              <w:right w:type="dxa" w:w="100"/>
            </w:tcMar>
            <w:vAlign w:val="center"/>
          </w:tcPr>
          <w:p>
            <w:pPr>
              <w:jc w:val="left"/>
            </w:pPr>
            <w:r>
              <w:rPr>
                <w:rFonts w:ascii="Arial" w:cs="Arial" w:eastAsia="Arial" w:hAnsi="Arial"/>
                <w:b w:val="false"/>
                <w:bCs w:val="false"/>
                <w:color w:val="000000"/>
                <w:sz w:val="19"/>
                <w:szCs w:val="19"/>
              </w:rPr>
              <w:t xml:space="preserve">Agency for Aerial Navigation Safety in Africa and Madagascar — provides shared AIS services for 18 member states</w:t>
            </w:r>
          </w:p>
        </w:tc>
      </w:tr>
    </w:tbl>
    <w:p>
      <w:pPr>
        <w:pStyle w:val="Heading1"/>
        <w:spacing w:after="200" w:before="400"/>
      </w:pPr>
      <w:r>
        <w:t xml:space="preserve">Appendix B: Companion Deliverable — State Source Inventory</w:t>
      </w:r>
    </w:p>
    <w:p>
      <w:pPr>
        <w:spacing w:after="160"/>
        <w:jc w:val="both"/>
      </w:pPr>
      <w:r>
        <w:rPr>
          <w:rFonts w:ascii="Arial" w:cs="Arial" w:eastAsia="Arial" w:hAnsi="Arial"/>
          <w:sz w:val="21"/>
          <w:szCs w:val="21"/>
        </w:rPr>
        <w:t xml:space="preserve">AIP_Library_Rollout_Tracker.xlsx is the working data companion to this PRD. It operationalizes the state registry described in Section 8 using the team's actual source list (220 states/territories) rather than placeholder data. Sheets:</w:t>
      </w:r>
    </w:p>
    <w:p>
      <w:pPr>
        <w:pStyle w:val="ListParagraph"/>
        <w:numPr>
          <w:ilvl w:val="0"/>
          <w:numId w:val="1"/>
        </w:numPr>
        <w:spacing w:after="80"/>
      </w:pPr>
      <w:r>
        <w:rPr>
          <w:rFonts w:ascii="Arial" w:cs="Arial" w:eastAsia="Arial" w:hAnsi="Arial"/>
          <w:sz w:val="21"/>
          <w:szCs w:val="21"/>
        </w:rPr>
        <w:t xml:space="preserve">Summary Dashboard — live counts of coverage, access-type split, and rollout-phase split.</w:t>
      </w:r>
    </w:p>
    <w:p>
      <w:pPr>
        <w:pStyle w:val="ListParagraph"/>
        <w:numPr>
          <w:ilvl w:val="0"/>
          <w:numId w:val="1"/>
        </w:numPr>
        <w:spacing w:after="80"/>
      </w:pPr>
      <w:r>
        <w:rPr>
          <w:rFonts w:ascii="Arial" w:cs="Arial" w:eastAsia="Arial" w:hAnsi="Arial"/>
          <w:sz w:val="21"/>
          <w:szCs w:val="21"/>
        </w:rPr>
        <w:t xml:space="preserve">Region Rollout Plan — recommended region sequencing with rationale and per-region free/paid/needs-research counts, using formulas that recalculate as the Master Inventory is updated.</w:t>
      </w:r>
    </w:p>
    <w:p>
      <w:pPr>
        <w:pStyle w:val="ListParagraph"/>
        <w:numPr>
          <w:ilvl w:val="0"/>
          <w:numId w:val="1"/>
        </w:numPr>
        <w:spacing w:after="80"/>
      </w:pPr>
      <w:r>
        <w:rPr>
          <w:rFonts w:ascii="Arial" w:cs="Arial" w:eastAsia="Arial" w:hAnsi="Arial"/>
          <w:sz w:val="21"/>
          <w:szCs w:val="21"/>
        </w:rPr>
        <w:t xml:space="preserve">Shared Ingestion Sources — the highest-leverage connectors (build-once, cover-many), ranked by number of states served.</w:t>
      </w:r>
    </w:p>
    <w:p>
      <w:pPr>
        <w:pStyle w:val="ListParagraph"/>
        <w:numPr>
          <w:ilvl w:val="0"/>
          <w:numId w:val="1"/>
        </w:numPr>
        <w:spacing w:after="80"/>
      </w:pPr>
      <w:r>
        <w:rPr>
          <w:rFonts w:ascii="Arial" w:cs="Arial" w:eastAsia="Arial" w:hAnsi="Arial"/>
          <w:sz w:val="21"/>
          <w:szCs w:val="21"/>
        </w:rPr>
        <w:t xml:space="preserve">Master Inventory — the full 220-row working list with editable Status, Owner, Last Checked, and Notes columns for the team to fill in as each source is verified.</w:t>
      </w:r>
    </w:p>
    <w:p>
      <w:pPr>
        <w:pStyle w:val="ListParagraph"/>
        <w:numPr>
          <w:ilvl w:val="0"/>
          <w:numId w:val="1"/>
        </w:numPr>
        <w:spacing w:after="80"/>
      </w:pPr>
      <w:r>
        <w:rPr>
          <w:rFonts w:ascii="Arial" w:cs="Arial" w:eastAsia="Arial" w:hAnsi="Arial"/>
          <w:sz w:val="21"/>
          <w:szCs w:val="21"/>
        </w:rPr>
        <w:t xml:space="preserve">Needs Research — action list of states with no source on file or a source that looks internal/restricted rather than official.</w:t>
      </w:r>
    </w:p>
    <w:p>
      <w:pPr>
        <w:spacing w:after="160"/>
        <w:jc w:val="both"/>
      </w:pPr>
      <w:r>
        <w:rPr>
          <w:rFonts w:ascii="Arial" w:cs="Arial" w:eastAsia="Arial" w:hAnsi="Arial"/>
          <w:sz w:val="21"/>
          <w:szCs w:val="21"/>
        </w:rPr>
        <w:t xml:space="preserve">Current top-line snapshot (see workbook for live figures): 220 states/territories cataloged; 196 (89%) classified free or likely-free; 8 confirmed paid (excluded from Phase 1 per current direction); 16 flagged for manual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Arial" w:cs="Arial" w:eastAsia="Arial" w:hAnsi="Arial"/>
      <w:b/>
      <w:bCs/>
      <w:color w:val="1F3864"/>
      <w:sz w:val="30"/>
      <w:szCs w:val="30"/>
    </w:rPr>
  </w:style>
  <w:style w:type="paragraph" w:styleId="Heading2">
    <w:name w:val="Heading 2"/>
    <w:basedOn w:val="Normal"/>
    <w:next w:val="Normal"/>
    <w:qFormat/>
    <w:pPr>
      <w:spacing w:after="150" w:before="300"/>
    </w:pPr>
    <w:rPr>
      <w:rFonts w:ascii="Arial" w:cs="Arial" w:eastAsia="Arial" w:hAnsi="Arial"/>
      <w:b/>
      <w:bCs/>
      <w:color w:val="1F3864"/>
      <w:sz w:val="25"/>
      <w:szCs w:val="25"/>
    </w:rPr>
  </w:style>
  <w:style w:type="paragraph" w:styleId="Heading3">
    <w:name w:val="Heading 3"/>
    <w:basedOn w:val="Normal"/>
    <w:next w:val="Normal"/>
    <w:qFormat/>
    <w:pPr>
      <w:spacing w:after="100" w:before="200"/>
    </w:pPr>
    <w:rPr>
      <w:rFonts w:ascii="Arial" w:cs="Arial" w:eastAsia="Arial" w:hAnsi="Arial"/>
      <w:b/>
      <w:bCs/>
      <w:color w:val="2E539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2026-07-09T04:52:32.463Z</dcterms:created>
  <dcterms:modified xsi:type="dcterms:W3CDTF">2026-07-09T04:52:32.471Z</dcterms:modified>
</cp:coreProperties>
</file>

<file path=docProps/custom.xml><?xml version="1.0" encoding="utf-8"?>
<Properties xmlns="http://schemas.openxmlformats.org/officeDocument/2006/custom-properties" xmlns:vt="http://schemas.openxmlformats.org/officeDocument/2006/docPropsVTypes"/>
</file>