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sz w:val="28"/>
        </w:rPr>
        <w:t>LAMPIRAN E</w:t>
      </w:r>
    </w:p>
    <w:p>
      <w:pPr>
        <w:pStyle w:val="Heading1"/>
      </w:pPr>
      <w:r>
        <w:rPr>
          <w:rFonts w:ascii="Times New Roman" w:hAnsi="Times New Roman"/>
          <w:b/>
          <w:sz w:val="28"/>
        </w:rPr>
        <w:t>Uji Goodness of Fit: McFadden Pseudo R² dan Area Under Curve (AUC)</w:t>
      </w:r>
    </w:p>
    <w:p/>
    <w:p>
      <w:pPr>
        <w:pStyle w:val="Heading2"/>
      </w:pPr>
      <w:r>
        <w:rPr>
          <w:rFonts w:ascii="Times New Roman" w:hAnsi="Times New Roman"/>
          <w:b/>
          <w:sz w:val="24"/>
        </w:rPr>
        <w:t>1. Pengantar: Mengapa R² OLS Tidak Digunakan?</w:t>
      </w:r>
    </w:p>
    <w:p>
      <w:pPr>
        <w:spacing w:after="120"/>
      </w:pPr>
      <w:r>
        <w:rPr>
          <w:rFonts w:ascii="Times New Roman" w:hAnsi="Times New Roman"/>
          <w:b w:val="0"/>
          <w:i w:val="0"/>
          <w:sz w:val="24"/>
        </w:rPr>
        <w:t>Dalam regresi linear (OLS), koefisien determinasi R² mengukur proporsi varians variabel dependen yang dapat dijelaskan oleh model. Nilai R² berkisar antara 0 hingga 1 dan memiliki interpretasi yang intuitif. Namun, R² OLS tidak dapat digunakan secara langsung pada model regresi logistik karena beberapa alasan mendasar:</w:t>
      </w:r>
    </w:p>
    <w:p>
      <w:pPr>
        <w:pStyle w:val="ListNumber"/>
      </w:pPr>
      <w:r>
        <w:rPr>
          <w:rFonts w:ascii="Times New Roman" w:hAnsi="Times New Roman"/>
          <w:b/>
          <w:sz w:val="24"/>
        </w:rPr>
        <w:t xml:space="preserve">Distribusi berbeda: </w:t>
      </w:r>
      <w:r>
        <w:rPr>
          <w:rFonts w:ascii="Times New Roman" w:hAnsi="Times New Roman"/>
          <w:sz w:val="24"/>
        </w:rPr>
        <w:t>Regresi logistik mengasumsikan distribusi Bernoulli/Binomial pada variabel dependen, bukan distribusi normal. Konsep "varians yang dijelaskan" tidak memiliki makna yang sama.</w:t>
      </w:r>
    </w:p>
    <w:p>
      <w:pPr>
        <w:pStyle w:val="ListNumber"/>
      </w:pPr>
      <w:r>
        <w:rPr>
          <w:rFonts w:ascii="Times New Roman" w:hAnsi="Times New Roman"/>
          <w:b/>
          <w:sz w:val="24"/>
        </w:rPr>
        <w:t xml:space="preserve">Estimasi berbeda: </w:t>
      </w:r>
      <w:r>
        <w:rPr>
          <w:rFonts w:ascii="Times New Roman" w:hAnsi="Times New Roman"/>
          <w:sz w:val="24"/>
        </w:rPr>
        <w:t>Logistik regresi menggunakan Maximum Likelihood Estimation (MLE), bukan Ordinary Least Squares. MLE tidak meminimalkan jumlah kuadrat residual, sehingga R² berbasis OLS tidak relevan.</w:t>
      </w:r>
    </w:p>
    <w:p>
      <w:pPr>
        <w:pStyle w:val="ListNumber"/>
      </w:pPr>
      <w:r>
        <w:rPr>
          <w:rFonts w:ascii="Times New Roman" w:hAnsi="Times New Roman"/>
          <w:b/>
          <w:sz w:val="24"/>
        </w:rPr>
        <w:t xml:space="preserve">Skala variabel dependen: </w:t>
      </w:r>
      <w:r>
        <w:rPr>
          <w:rFonts w:ascii="Times New Roman" w:hAnsi="Times New Roman"/>
          <w:sz w:val="24"/>
        </w:rPr>
        <w:t>Variabel dependen logistik bersifat dikotomis (0/1), sehingga R² konvensional yang dihitung dari varians akan menghasilkan nilai yang bias dan tidak bermakna.</w:t>
      </w:r>
    </w:p>
    <w:p>
      <w:pPr>
        <w:spacing w:after="120"/>
      </w:pPr>
      <w:r>
        <w:rPr>
          <w:rFonts w:ascii="Times New Roman" w:hAnsi="Times New Roman"/>
          <w:b w:val="0"/>
          <w:i w:val="0"/>
          <w:sz w:val="24"/>
        </w:rPr>
        <w:t>Sebagai alternatif, berbagai ukuran Pseudo R² telah dikembangkan khusus untuk model berbasis MLE. Ukuran yang paling umum digunakan dalam penelitian sosial adalah McFadden Pseudo R² (1974), yang digunakan dalam penelitian ini.</w:t>
      </w:r>
    </w:p>
    <w:p>
      <w:pPr>
        <w:pStyle w:val="Heading2"/>
      </w:pPr>
      <w:r>
        <w:rPr>
          <w:rFonts w:ascii="Times New Roman" w:hAnsi="Times New Roman"/>
          <w:b/>
          <w:sz w:val="24"/>
        </w:rPr>
        <w:t>2. McFadden Pseudo R²</w:t>
      </w:r>
    </w:p>
    <w:p>
      <w:pPr>
        <w:pStyle w:val="Heading3"/>
      </w:pPr>
      <w:r>
        <w:rPr>
          <w:rFonts w:ascii="Times New Roman" w:hAnsi="Times New Roman"/>
          <w:b/>
          <w:sz w:val="22"/>
        </w:rPr>
        <w:t>2.1 Dasar Teori dan Formula</w:t>
      </w:r>
    </w:p>
    <w:p>
      <w:pPr>
        <w:spacing w:after="120"/>
      </w:pPr>
      <w:r>
        <w:rPr>
          <w:rFonts w:ascii="Times New Roman" w:hAnsi="Times New Roman"/>
          <w:b w:val="0"/>
          <w:i w:val="0"/>
          <w:sz w:val="24"/>
        </w:rPr>
        <w:t>McFadden (1974) mengusulkan ukuran goodness of fit berdasarkan rasio log-likelihood, yang mengukur seberapa besar model penuh meningkatkan log-likelihood dibandingkan model null (hanya intercept). Formula McFadden Pseudo R² adalah:</w:t>
      </w:r>
    </w:p>
    <w:p>
      <w:pPr>
        <w:jc w:val="center"/>
      </w:pPr>
      <w:r>
        <w:rPr>
          <w:rFonts w:ascii="Cambria Math" w:hAnsi="Cambria Math"/>
          <w:i/>
          <w:sz w:val="22"/>
        </w:rPr>
        <w:t>R²_McFadden  =  1  −  ( LL_full / LL_null )</w:t>
      </w:r>
    </w:p>
    <w:p>
      <w:pPr>
        <w:spacing w:after="120"/>
      </w:pPr>
      <w:r>
        <w:rPr>
          <w:rFonts w:ascii="Times New Roman" w:hAnsi="Times New Roman"/>
          <w:b w:val="0"/>
          <w:i w:val="0"/>
          <w:sz w:val="24"/>
        </w:rPr>
        <w:t>Di mana:</w:t>
      </w:r>
    </w:p>
    <w:p>
      <w:pPr>
        <w:pStyle w:val="ListBullet"/>
      </w:pPr>
      <w:r>
        <w:rPr>
          <w:rFonts w:ascii="Times New Roman" w:hAnsi="Times New Roman"/>
          <w:i/>
          <w:sz w:val="24"/>
        </w:rPr>
        <w:t>LL_full  = log-likelihood model penuh (dengan seluruh prediktor)</w:t>
      </w:r>
    </w:p>
    <w:p>
      <w:pPr>
        <w:pStyle w:val="ListBullet"/>
      </w:pPr>
      <w:r>
        <w:rPr>
          <w:rFonts w:ascii="Times New Roman" w:hAnsi="Times New Roman"/>
          <w:i/>
          <w:sz w:val="24"/>
        </w:rPr>
        <w:t>LL_null  = log-likelihood model null (hanya intercept, tanpa prediktor)</w:t>
      </w:r>
    </w:p>
    <w:p>
      <w:pPr>
        <w:spacing w:after="120"/>
      </w:pPr>
      <w:r>
        <w:rPr>
          <w:rFonts w:ascii="Times New Roman" w:hAnsi="Times New Roman"/>
          <w:b w:val="0"/>
          <w:i w:val="0"/>
          <w:sz w:val="24"/>
        </w:rPr>
        <w:t>Karena log-likelihood selalu bernilai negatif dan model penuh selalu memiliki log-likelihood yang lebih besar (lebih mendekati nol) dibandingkan model null, nilai McFadden R² selalu berada antara 0 dan 1. Nilai mendekati 1 menunjukkan model penuh jauh lebih baik dari model null.</w:t>
      </w:r>
    </w:p>
    <w:p>
      <w:pPr>
        <w:pStyle w:val="Heading3"/>
      </w:pPr>
      <w:r>
        <w:rPr>
          <w:rFonts w:ascii="Times New Roman" w:hAnsi="Times New Roman"/>
          <w:b/>
          <w:sz w:val="22"/>
        </w:rPr>
        <w:t>2.2 Panduan Interpretasi</w:t>
      </w:r>
    </w:p>
    <w:p>
      <w:pPr>
        <w:spacing w:after="120"/>
      </w:pPr>
      <w:r>
        <w:rPr>
          <w:rFonts w:ascii="Times New Roman" w:hAnsi="Times New Roman"/>
          <w:b w:val="0"/>
          <w:i w:val="0"/>
          <w:sz w:val="24"/>
        </w:rPr>
        <w:t>McFadden (1974) dan Louviere et al. (2000) menyatakan bahwa nilai Pseudo R² pada regresi logistik tidak dapat diinterpretasikan sama seperti R² OLS. Nilai yang terlihat "rendah" pada logistik sebenarnya setara dengan nilai yang lebih tinggi pada OLS. Panduan umum yang digunakan dalam literatur adalah sebagai berikut:</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jc w:val="center"/>
            </w:pPr>
            <w:r/>
            <w:r>
              <w:rPr>
                <w:rFonts w:ascii="Times New Roman" w:hAnsi="Times New Roman"/>
                <w:b/>
                <w:i w:val="0"/>
                <w:color w:val="FFFFFF"/>
                <w:sz w:val="20"/>
              </w:rPr>
              <w:t>McFadden R²</w:t>
            </w:r>
          </w:p>
        </w:tc>
        <w:tc>
          <w:tcPr>
            <w:tcW w:type="dxa" w:w="3041"/>
            <w:shd w:val="clear" w:color="auto" w:fill="1F497D"/>
          </w:tcPr>
          <w:p>
            <w:pPr>
              <w:jc w:val="center"/>
            </w:pPr>
            <w:r/>
            <w:r>
              <w:rPr>
                <w:rFonts w:ascii="Times New Roman" w:hAnsi="Times New Roman"/>
                <w:b/>
                <w:i w:val="0"/>
                <w:color w:val="FFFFFF"/>
                <w:sz w:val="20"/>
              </w:rPr>
              <w:t>Interpretasi</w:t>
            </w:r>
          </w:p>
        </w:tc>
        <w:tc>
          <w:tcPr>
            <w:tcW w:type="dxa" w:w="3041"/>
            <w:shd w:val="clear" w:color="auto" w:fill="1F497D"/>
          </w:tcPr>
          <w:p>
            <w:pPr>
              <w:jc w:val="center"/>
            </w:pPr>
            <w:r/>
            <w:r>
              <w:rPr>
                <w:rFonts w:ascii="Times New Roman" w:hAnsi="Times New Roman"/>
                <w:b/>
                <w:i w:val="0"/>
                <w:color w:val="FFFFFF"/>
                <w:sz w:val="20"/>
              </w:rPr>
              <w:t>Setara R² OLS (approx.)</w:t>
            </w:r>
          </w:p>
        </w:tc>
      </w:tr>
      <w:tr>
        <w:tc>
          <w:tcPr>
            <w:tcW w:type="dxa" w:w="3041"/>
            <w:shd w:val="clear" w:color="auto" w:fill="FFC7CE"/>
          </w:tcPr>
          <w:p>
            <w:pPr>
              <w:jc w:val="center"/>
            </w:pPr>
            <w:r/>
            <w:r>
              <w:rPr>
                <w:rFonts w:ascii="Times New Roman" w:hAnsi="Times New Roman"/>
                <w:b w:val="0"/>
                <w:i w:val="0"/>
                <w:sz w:val="20"/>
              </w:rPr>
              <w:t>&lt; 0.10</w:t>
            </w:r>
          </w:p>
        </w:tc>
        <w:tc>
          <w:tcPr>
            <w:tcW w:type="dxa" w:w="3041"/>
            <w:shd w:val="clear" w:color="auto" w:fill="FFC7CE"/>
          </w:tcPr>
          <w:p>
            <w:pPr>
              <w:jc w:val="center"/>
            </w:pPr>
            <w:r/>
            <w:r>
              <w:rPr>
                <w:rFonts w:ascii="Times New Roman" w:hAnsi="Times New Roman"/>
                <w:b/>
                <w:i w:val="0"/>
                <w:sz w:val="20"/>
              </w:rPr>
              <w:t>Lemah</w:t>
            </w:r>
          </w:p>
        </w:tc>
        <w:tc>
          <w:tcPr>
            <w:tcW w:type="dxa" w:w="3041"/>
            <w:shd w:val="clear" w:color="auto" w:fill="FFC7CE"/>
          </w:tcPr>
          <w:p>
            <w:pPr>
              <w:jc w:val="center"/>
            </w:pPr>
            <w:r/>
            <w:r>
              <w:rPr>
                <w:rFonts w:ascii="Times New Roman" w:hAnsi="Times New Roman"/>
                <w:b w:val="0"/>
                <w:i w:val="0"/>
                <w:sz w:val="20"/>
              </w:rPr>
              <w:t>&lt; 0.20</w:t>
            </w:r>
          </w:p>
        </w:tc>
      </w:tr>
      <w:tr>
        <w:tc>
          <w:tcPr>
            <w:tcW w:type="dxa" w:w="3041"/>
            <w:shd w:val="clear" w:color="auto" w:fill="FFEB9C"/>
          </w:tcPr>
          <w:p>
            <w:pPr>
              <w:jc w:val="center"/>
            </w:pPr>
            <w:r/>
            <w:r>
              <w:rPr>
                <w:rFonts w:ascii="Times New Roman" w:hAnsi="Times New Roman"/>
                <w:b w:val="0"/>
                <w:i w:val="0"/>
                <w:sz w:val="20"/>
              </w:rPr>
              <w:t>0.10 – 0.19</w:t>
            </w:r>
          </w:p>
        </w:tc>
        <w:tc>
          <w:tcPr>
            <w:tcW w:type="dxa" w:w="3041"/>
            <w:shd w:val="clear" w:color="auto" w:fill="FFEB9C"/>
          </w:tcPr>
          <w:p>
            <w:pPr>
              <w:jc w:val="center"/>
            </w:pPr>
            <w:r/>
            <w:r>
              <w:rPr>
                <w:rFonts w:ascii="Times New Roman" w:hAnsi="Times New Roman"/>
                <w:b/>
                <w:i w:val="0"/>
                <w:sz w:val="20"/>
              </w:rPr>
              <w:t>Cukup</w:t>
            </w:r>
          </w:p>
        </w:tc>
        <w:tc>
          <w:tcPr>
            <w:tcW w:type="dxa" w:w="3041"/>
            <w:shd w:val="clear" w:color="auto" w:fill="FFEB9C"/>
          </w:tcPr>
          <w:p>
            <w:pPr>
              <w:jc w:val="center"/>
            </w:pPr>
            <w:r/>
            <w:r>
              <w:rPr>
                <w:rFonts w:ascii="Times New Roman" w:hAnsi="Times New Roman"/>
                <w:b w:val="0"/>
                <w:i w:val="0"/>
                <w:sz w:val="20"/>
              </w:rPr>
              <w:t>0.20 – 0.35</w:t>
            </w:r>
          </w:p>
        </w:tc>
      </w:tr>
      <w:tr>
        <w:tc>
          <w:tcPr>
            <w:tcW w:type="dxa" w:w="3041"/>
            <w:shd w:val="clear" w:color="auto" w:fill="C6EFCE"/>
          </w:tcPr>
          <w:p>
            <w:pPr>
              <w:jc w:val="center"/>
            </w:pPr>
            <w:r/>
            <w:r>
              <w:rPr>
                <w:rFonts w:ascii="Times New Roman" w:hAnsi="Times New Roman"/>
                <w:b w:val="0"/>
                <w:i w:val="0"/>
                <w:sz w:val="20"/>
              </w:rPr>
              <w:t>0.20 – 0.40</w:t>
            </w:r>
          </w:p>
        </w:tc>
        <w:tc>
          <w:tcPr>
            <w:tcW w:type="dxa" w:w="3041"/>
            <w:shd w:val="clear" w:color="auto" w:fill="C6EFCE"/>
          </w:tcPr>
          <w:p>
            <w:pPr>
              <w:jc w:val="center"/>
            </w:pPr>
            <w:r/>
            <w:r>
              <w:rPr>
                <w:rFonts w:ascii="Times New Roman" w:hAnsi="Times New Roman"/>
                <w:b/>
                <w:i w:val="0"/>
                <w:sz w:val="20"/>
              </w:rPr>
              <w:t>Baik</w:t>
            </w:r>
          </w:p>
        </w:tc>
        <w:tc>
          <w:tcPr>
            <w:tcW w:type="dxa" w:w="3041"/>
            <w:shd w:val="clear" w:color="auto" w:fill="C6EFCE"/>
          </w:tcPr>
          <w:p>
            <w:pPr>
              <w:jc w:val="center"/>
            </w:pPr>
            <w:r/>
            <w:r>
              <w:rPr>
                <w:rFonts w:ascii="Times New Roman" w:hAnsi="Times New Roman"/>
                <w:b w:val="0"/>
                <w:i w:val="0"/>
                <w:sz w:val="20"/>
              </w:rPr>
              <w:t>0.40 – 0.60</w:t>
            </w:r>
          </w:p>
        </w:tc>
      </w:tr>
      <w:tr>
        <w:tc>
          <w:tcPr>
            <w:tcW w:type="dxa" w:w="3041"/>
            <w:shd w:val="clear" w:color="auto" w:fill="C6EFCE"/>
          </w:tcPr>
          <w:p>
            <w:pPr>
              <w:jc w:val="center"/>
            </w:pPr>
            <w:r/>
            <w:r>
              <w:rPr>
                <w:rFonts w:ascii="Times New Roman" w:hAnsi="Times New Roman"/>
                <w:b w:val="0"/>
                <w:i w:val="0"/>
                <w:sz w:val="20"/>
              </w:rPr>
              <w:t>&gt; 0.40</w:t>
            </w:r>
          </w:p>
        </w:tc>
        <w:tc>
          <w:tcPr>
            <w:tcW w:type="dxa" w:w="3041"/>
            <w:shd w:val="clear" w:color="auto" w:fill="C6EFCE"/>
          </w:tcPr>
          <w:p>
            <w:pPr>
              <w:jc w:val="center"/>
            </w:pPr>
            <w:r/>
            <w:r>
              <w:rPr>
                <w:rFonts w:ascii="Times New Roman" w:hAnsi="Times New Roman"/>
                <w:b/>
                <w:i w:val="0"/>
                <w:sz w:val="20"/>
              </w:rPr>
              <w:t>Sangat Baik</w:t>
            </w:r>
          </w:p>
        </w:tc>
        <w:tc>
          <w:tcPr>
            <w:tcW w:type="dxa" w:w="3041"/>
            <w:shd w:val="clear" w:color="auto" w:fill="C6EFCE"/>
          </w:tcPr>
          <w:p>
            <w:pPr>
              <w:jc w:val="center"/>
            </w:pPr>
            <w:r/>
            <w:r>
              <w:rPr>
                <w:rFonts w:ascii="Times New Roman" w:hAnsi="Times New Roman"/>
                <w:b w:val="0"/>
                <w:i w:val="0"/>
                <w:sz w:val="20"/>
              </w:rPr>
              <w:t>&gt; 0.60</w:t>
            </w:r>
          </w:p>
        </w:tc>
      </w:tr>
    </w:tbl>
    <w:p>
      <w:pPr>
        <w:spacing w:after="120"/>
      </w:pPr>
      <w:r>
        <w:rPr>
          <w:rFonts w:ascii="Times New Roman" w:hAnsi="Times New Roman"/>
          <w:b w:val="0"/>
          <w:i/>
          <w:sz w:val="20"/>
        </w:rPr>
        <w:t>Sumber: McFadden (1974); Louviere, Hensher &amp; Swait (2000); Hosmer, Lemeshow &amp; Sturdivant (2013).</w:t>
      </w:r>
    </w:p>
    <w:p>
      <w:pPr>
        <w:pStyle w:val="Heading3"/>
      </w:pPr>
      <w:r>
        <w:rPr>
          <w:rFonts w:ascii="Times New Roman" w:hAnsi="Times New Roman"/>
          <w:b/>
          <w:sz w:val="22"/>
        </w:rPr>
        <w:t>2.3 Catatan Penting</w:t>
      </w:r>
    </w:p>
    <w:p>
      <w:pPr>
        <w:spacing w:after="120"/>
      </w:pPr>
      <w:r>
        <w:rPr>
          <w:rFonts w:ascii="Times New Roman" w:hAnsi="Times New Roman"/>
          <w:b w:val="0"/>
          <w:i w:val="0"/>
          <w:sz w:val="24"/>
        </w:rPr>
        <w:t>McFadden Pseudo R² mengukur peningkatan fit model relatif terhadap model null, BUKAN proporsi varians yang dijelaskan. Oleh karena itu:</w:t>
      </w:r>
    </w:p>
    <w:p>
      <w:pPr>
        <w:pStyle w:val="ListBullet"/>
      </w:pPr>
      <w:r>
        <w:rPr>
          <w:rFonts w:ascii="Times New Roman" w:hAnsi="Times New Roman"/>
          <w:sz w:val="24"/>
        </w:rPr>
        <w:t>Nilai 0.20 pada Pseudo R² sudah dianggap baik, berbeda dengan R² OLS di mana nilai 0.20 dianggap lemah.</w:t>
      </w:r>
    </w:p>
    <w:p>
      <w:pPr>
        <w:pStyle w:val="ListBullet"/>
      </w:pPr>
      <w:r>
        <w:rPr>
          <w:rFonts w:ascii="Times New Roman" w:hAnsi="Times New Roman"/>
          <w:sz w:val="24"/>
        </w:rPr>
        <w:t>Pseudo R² tidak dapat dibandingkan antar penelitian yang menggunakan data atau outcome berbeda.</w:t>
      </w:r>
    </w:p>
    <w:p>
      <w:pPr>
        <w:pStyle w:val="ListBullet"/>
      </w:pPr>
      <w:r>
        <w:rPr>
          <w:rFonts w:ascii="Times New Roman" w:hAnsi="Times New Roman"/>
          <w:sz w:val="24"/>
        </w:rPr>
        <w:t>Untuk model dengan outcome yang jarang (rare event), nilai Pseudo R² cenderung lebih rendah meski model sebenarnya baik.</w:t>
      </w:r>
    </w:p>
    <w:p>
      <w:pPr>
        <w:pStyle w:val="ListBullet"/>
      </w:pPr>
      <w:r>
        <w:rPr>
          <w:rFonts w:ascii="Times New Roman" w:hAnsi="Times New Roman"/>
          <w:sz w:val="24"/>
        </w:rPr>
        <w:t>Pseudo R² harus dilaporkan bersama ukuran lain (seperti AUC) untuk gambaran yang lebih lengkap.</w:t>
      </w:r>
    </w:p>
    <w:p>
      <w:pPr>
        <w:pStyle w:val="Heading2"/>
      </w:pPr>
      <w:r>
        <w:rPr>
          <w:rFonts w:ascii="Times New Roman" w:hAnsi="Times New Roman"/>
          <w:b/>
          <w:sz w:val="24"/>
        </w:rPr>
        <w:t>3. Area Under the ROC Curve (AUC)</w:t>
      </w:r>
    </w:p>
    <w:p>
      <w:pPr>
        <w:pStyle w:val="Heading3"/>
      </w:pPr>
      <w:r>
        <w:rPr>
          <w:rFonts w:ascii="Times New Roman" w:hAnsi="Times New Roman"/>
          <w:b/>
          <w:sz w:val="22"/>
        </w:rPr>
        <w:t>3.1 Dasar Teori</w:t>
      </w:r>
    </w:p>
    <w:p>
      <w:pPr>
        <w:spacing w:after="120"/>
      </w:pPr>
      <w:r>
        <w:rPr>
          <w:rFonts w:ascii="Times New Roman" w:hAnsi="Times New Roman"/>
          <w:b w:val="0"/>
          <w:i w:val="0"/>
          <w:sz w:val="24"/>
        </w:rPr>
        <w:t>ROC Curve (Receiver Operating Characteristic Curve) adalah grafik yang menggambarkan kemampuan model dalam membedakan antara kelas positif (Y=1) dan negatif (Y=0) pada berbagai threshold probabilitas. Sumbu X adalah False Positive Rate (1 - Specificity) dan sumbu Y adalah True Positive Rate (Sensitivity).</w:t>
      </w:r>
    </w:p>
    <w:p>
      <w:pPr>
        <w:spacing w:after="120"/>
      </w:pPr>
      <w:r>
        <w:rPr>
          <w:rFonts w:ascii="Times New Roman" w:hAnsi="Times New Roman"/>
          <w:b w:val="0"/>
          <w:i w:val="0"/>
          <w:sz w:val="24"/>
        </w:rPr>
        <w:t>Area Under the ROC Curve (AUC) adalah luas area di bawah kurva ROC, berkisar antara 0.5 (model acak, tidak lebih baik dari tebakan) hingga 1.0 (model sempurna). AUC mengukur kemampuan diskriminasi model secara keseluruhan, terlepas dari pemilihan threshold tertentu. Secara probabilistik, AUC = P(ŷ_positif &gt; ŷ_negatif), yaitu probabilitas bahwa model memberikan skor lebih tinggi kepada observasi positif dibandingkan observasi negatif.</w:t>
      </w:r>
    </w:p>
    <w:p>
      <w:pPr>
        <w:pStyle w:val="Heading3"/>
      </w:pPr>
      <w:r>
        <w:rPr>
          <w:rFonts w:ascii="Times New Roman" w:hAnsi="Times New Roman"/>
          <w:b/>
          <w:sz w:val="22"/>
        </w:rPr>
        <w:t>3.2 Panduan Interpretasi AUC</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497D"/>
          </w:tcPr>
          <w:p>
            <w:pPr>
              <w:jc w:val="center"/>
            </w:pPr>
            <w:r/>
            <w:r>
              <w:rPr>
                <w:rFonts w:ascii="Times New Roman" w:hAnsi="Times New Roman"/>
                <w:b/>
                <w:i w:val="0"/>
                <w:color w:val="FFFFFF"/>
                <w:sz w:val="20"/>
              </w:rPr>
              <w:t>Nilai AUC</w:t>
            </w:r>
          </w:p>
        </w:tc>
        <w:tc>
          <w:tcPr>
            <w:tcW w:type="dxa" w:w="3041"/>
            <w:shd w:val="clear" w:color="auto" w:fill="1F497D"/>
          </w:tcPr>
          <w:p>
            <w:pPr>
              <w:jc w:val="center"/>
            </w:pPr>
            <w:r/>
            <w:r>
              <w:rPr>
                <w:rFonts w:ascii="Times New Roman" w:hAnsi="Times New Roman"/>
                <w:b/>
                <w:i w:val="0"/>
                <w:color w:val="FFFFFF"/>
                <w:sz w:val="20"/>
              </w:rPr>
              <w:t>Interpretasi</w:t>
            </w:r>
          </w:p>
        </w:tc>
        <w:tc>
          <w:tcPr>
            <w:tcW w:type="dxa" w:w="3041"/>
            <w:shd w:val="clear" w:color="auto" w:fill="1F497D"/>
          </w:tcPr>
          <w:p>
            <w:pPr>
              <w:jc w:val="center"/>
            </w:pPr>
            <w:r/>
            <w:r>
              <w:rPr>
                <w:rFonts w:ascii="Times New Roman" w:hAnsi="Times New Roman"/>
                <w:b/>
                <w:i w:val="0"/>
                <w:color w:val="FFFFFF"/>
                <w:sz w:val="20"/>
              </w:rPr>
              <w:t>Keterangan</w:t>
            </w:r>
          </w:p>
        </w:tc>
      </w:tr>
      <w:tr>
        <w:tc>
          <w:tcPr>
            <w:tcW w:type="dxa" w:w="3041"/>
            <w:shd w:val="clear" w:color="auto" w:fill="FFC7CE"/>
          </w:tcPr>
          <w:p>
            <w:pPr>
              <w:jc w:val="center"/>
            </w:pPr>
            <w:r/>
            <w:r>
              <w:rPr>
                <w:rFonts w:ascii="Times New Roman" w:hAnsi="Times New Roman"/>
                <w:b w:val="0"/>
                <w:i w:val="0"/>
                <w:sz w:val="20"/>
              </w:rPr>
              <w:t>0.50 – 0.59</w:t>
            </w:r>
          </w:p>
        </w:tc>
        <w:tc>
          <w:tcPr>
            <w:tcW w:type="dxa" w:w="3041"/>
            <w:shd w:val="clear" w:color="auto" w:fill="FFC7CE"/>
          </w:tcPr>
          <w:p>
            <w:pPr>
              <w:jc w:val="center"/>
            </w:pPr>
            <w:r/>
            <w:r>
              <w:rPr>
                <w:rFonts w:ascii="Times New Roman" w:hAnsi="Times New Roman"/>
                <w:b/>
                <w:i w:val="0"/>
                <w:sz w:val="20"/>
              </w:rPr>
              <w:t>Gagal (Fail)</w:t>
            </w:r>
          </w:p>
        </w:tc>
        <w:tc>
          <w:tcPr>
            <w:tcW w:type="dxa" w:w="3041"/>
            <w:shd w:val="clear" w:color="auto" w:fill="FFC7CE"/>
          </w:tcPr>
          <w:p>
            <w:pPr>
              <w:jc w:val="left"/>
            </w:pPr>
            <w:r/>
            <w:r>
              <w:rPr>
                <w:rFonts w:ascii="Times New Roman" w:hAnsi="Times New Roman"/>
                <w:b w:val="0"/>
                <w:i w:val="0"/>
                <w:sz w:val="20"/>
              </w:rPr>
              <w:t>Tidak lebih baik dari tebakan acak</w:t>
            </w:r>
          </w:p>
        </w:tc>
      </w:tr>
      <w:tr>
        <w:tc>
          <w:tcPr>
            <w:tcW w:type="dxa" w:w="3041"/>
            <w:shd w:val="clear" w:color="auto" w:fill="FFEB9C"/>
          </w:tcPr>
          <w:p>
            <w:pPr>
              <w:jc w:val="center"/>
            </w:pPr>
            <w:r/>
            <w:r>
              <w:rPr>
                <w:rFonts w:ascii="Times New Roman" w:hAnsi="Times New Roman"/>
                <w:b w:val="0"/>
                <w:i w:val="0"/>
                <w:sz w:val="20"/>
              </w:rPr>
              <w:t>0.60 – 0.69</w:t>
            </w:r>
          </w:p>
        </w:tc>
        <w:tc>
          <w:tcPr>
            <w:tcW w:type="dxa" w:w="3041"/>
            <w:shd w:val="clear" w:color="auto" w:fill="FFEB9C"/>
          </w:tcPr>
          <w:p>
            <w:pPr>
              <w:jc w:val="center"/>
            </w:pPr>
            <w:r/>
            <w:r>
              <w:rPr>
                <w:rFonts w:ascii="Times New Roman" w:hAnsi="Times New Roman"/>
                <w:b/>
                <w:i w:val="0"/>
                <w:sz w:val="20"/>
              </w:rPr>
              <w:t>Cukup (Poor)</w:t>
            </w:r>
          </w:p>
        </w:tc>
        <w:tc>
          <w:tcPr>
            <w:tcW w:type="dxa" w:w="3041"/>
            <w:shd w:val="clear" w:color="auto" w:fill="FFEB9C"/>
          </w:tcPr>
          <w:p>
            <w:pPr>
              <w:jc w:val="left"/>
            </w:pPr>
            <w:r/>
            <w:r>
              <w:rPr>
                <w:rFonts w:ascii="Times New Roman" w:hAnsi="Times New Roman"/>
                <w:b w:val="0"/>
                <w:i w:val="0"/>
                <w:sz w:val="20"/>
              </w:rPr>
              <w:t>Kemampuan diskriminasi terbatas</w:t>
            </w:r>
          </w:p>
        </w:tc>
      </w:tr>
      <w:tr>
        <w:tc>
          <w:tcPr>
            <w:tcW w:type="dxa" w:w="3041"/>
            <w:shd w:val="clear" w:color="auto" w:fill="C6EFCE"/>
          </w:tcPr>
          <w:p>
            <w:pPr>
              <w:jc w:val="center"/>
            </w:pPr>
            <w:r/>
            <w:r>
              <w:rPr>
                <w:rFonts w:ascii="Times New Roman" w:hAnsi="Times New Roman"/>
                <w:b w:val="0"/>
                <w:i w:val="0"/>
                <w:sz w:val="20"/>
              </w:rPr>
              <w:t>0.70 – 0.79</w:t>
            </w:r>
          </w:p>
        </w:tc>
        <w:tc>
          <w:tcPr>
            <w:tcW w:type="dxa" w:w="3041"/>
            <w:shd w:val="clear" w:color="auto" w:fill="C6EFCE"/>
          </w:tcPr>
          <w:p>
            <w:pPr>
              <w:jc w:val="center"/>
            </w:pPr>
            <w:r/>
            <w:r>
              <w:rPr>
                <w:rFonts w:ascii="Times New Roman" w:hAnsi="Times New Roman"/>
                <w:b/>
                <w:i w:val="0"/>
                <w:sz w:val="20"/>
              </w:rPr>
              <w:t>Baik (Acceptable)</w:t>
            </w:r>
          </w:p>
        </w:tc>
        <w:tc>
          <w:tcPr>
            <w:tcW w:type="dxa" w:w="3041"/>
            <w:shd w:val="clear" w:color="auto" w:fill="C6EFCE"/>
          </w:tcPr>
          <w:p>
            <w:pPr>
              <w:jc w:val="left"/>
            </w:pPr>
            <w:r/>
            <w:r>
              <w:rPr>
                <w:rFonts w:ascii="Times New Roman" w:hAnsi="Times New Roman"/>
                <w:b w:val="0"/>
                <w:i w:val="0"/>
                <w:sz w:val="20"/>
              </w:rPr>
              <w:t>Cukup baik untuk penelitian sosial</w:t>
            </w:r>
          </w:p>
        </w:tc>
      </w:tr>
      <w:tr>
        <w:tc>
          <w:tcPr>
            <w:tcW w:type="dxa" w:w="3041"/>
            <w:shd w:val="clear" w:color="auto" w:fill="C6EFCE"/>
          </w:tcPr>
          <w:p>
            <w:pPr>
              <w:jc w:val="center"/>
            </w:pPr>
            <w:r/>
            <w:r>
              <w:rPr>
                <w:rFonts w:ascii="Times New Roman" w:hAnsi="Times New Roman"/>
                <w:b w:val="0"/>
                <w:i w:val="0"/>
                <w:sz w:val="20"/>
              </w:rPr>
              <w:t>0.80 – 1.00</w:t>
            </w:r>
          </w:p>
        </w:tc>
        <w:tc>
          <w:tcPr>
            <w:tcW w:type="dxa" w:w="3041"/>
            <w:shd w:val="clear" w:color="auto" w:fill="C6EFCE"/>
          </w:tcPr>
          <w:p>
            <w:pPr>
              <w:jc w:val="center"/>
            </w:pPr>
            <w:r/>
            <w:r>
              <w:rPr>
                <w:rFonts w:ascii="Times New Roman" w:hAnsi="Times New Roman"/>
                <w:b/>
                <w:i w:val="0"/>
                <w:sz w:val="20"/>
              </w:rPr>
              <w:t>Sangat Baik (Excellent)</w:t>
            </w:r>
          </w:p>
        </w:tc>
        <w:tc>
          <w:tcPr>
            <w:tcW w:type="dxa" w:w="3041"/>
            <w:shd w:val="clear" w:color="auto" w:fill="C6EFCE"/>
          </w:tcPr>
          <w:p>
            <w:pPr>
              <w:jc w:val="left"/>
            </w:pPr>
            <w:r/>
            <w:r>
              <w:rPr>
                <w:rFonts w:ascii="Times New Roman" w:hAnsi="Times New Roman"/>
                <w:b w:val="0"/>
                <w:i w:val="0"/>
                <w:sz w:val="20"/>
              </w:rPr>
              <w:t>Diskriminasi sangat kuat</w:t>
            </w:r>
          </w:p>
        </w:tc>
      </w:tr>
    </w:tbl>
    <w:p>
      <w:pPr>
        <w:spacing w:after="120"/>
      </w:pPr>
      <w:r>
        <w:rPr>
          <w:rFonts w:ascii="Times New Roman" w:hAnsi="Times New Roman"/>
          <w:b w:val="0"/>
          <w:i/>
          <w:sz w:val="20"/>
        </w:rPr>
        <w:t>Sumber: Hosmer, Lemeshow &amp; Sturdivant (2013, hal. 177).</w:t>
      </w:r>
    </w:p>
    <w:p>
      <w:pPr>
        <w:pStyle w:val="Heading3"/>
      </w:pPr>
      <w:r>
        <w:rPr>
          <w:rFonts w:ascii="Times New Roman" w:hAnsi="Times New Roman"/>
          <w:b/>
          <w:sz w:val="22"/>
        </w:rPr>
        <w:t>3.3 Keunggulan AUC dibandingkan HL Test</w:t>
      </w:r>
    </w:p>
    <w:p>
      <w:pPr>
        <w:spacing w:after="120"/>
      </w:pPr>
      <w:r>
        <w:rPr>
          <w:rFonts w:ascii="Times New Roman" w:hAnsi="Times New Roman"/>
          <w:b w:val="0"/>
          <w:i w:val="0"/>
          <w:sz w:val="24"/>
        </w:rPr>
        <w:t>Uji Hosmer-Lemeshow (HL) sensitif terhadap ukuran sampel besar — pada N&gt;4.000, perbedaan kecil antara nilai observasi dan prediksi dapat menghasilkan chi-square yang signifikan meskipun model sebenarnya sudah baik. AUC tidak memiliki kelemahan ini karena AUC mengukur kemampuan diskriminasi berdasarkan urutan relatif prediksi, bukan besarnya perbedaan absolut. Oleh karena itu, AUC dan McFadden R² digunakan sebagai ukuran pelengkap dalam penelitian ini, khususnya untuk model dengan sampel besar.</w:t>
      </w:r>
    </w:p>
    <w:p>
      <w:pPr>
        <w:pStyle w:val="Heading2"/>
      </w:pPr>
      <w:r>
        <w:rPr>
          <w:rFonts w:ascii="Times New Roman" w:hAnsi="Times New Roman"/>
          <w:b/>
          <w:sz w:val="24"/>
        </w:rPr>
        <w:t>4. Perbandingan Tiga Ukuran Goodness of Fit</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497D"/>
          </w:tcPr>
          <w:p>
            <w:pPr>
              <w:jc w:val="center"/>
            </w:pPr>
            <w:r/>
            <w:r>
              <w:rPr>
                <w:rFonts w:ascii="Times New Roman" w:hAnsi="Times New Roman"/>
                <w:b/>
                <w:i w:val="0"/>
                <w:color w:val="FFFFFF"/>
                <w:sz w:val="20"/>
              </w:rPr>
              <w:t>Ukuran</w:t>
            </w:r>
          </w:p>
        </w:tc>
        <w:tc>
          <w:tcPr>
            <w:tcW w:type="dxa" w:w="2280"/>
            <w:shd w:val="clear" w:color="auto" w:fill="1F497D"/>
          </w:tcPr>
          <w:p>
            <w:pPr>
              <w:jc w:val="center"/>
            </w:pPr>
            <w:r/>
            <w:r>
              <w:rPr>
                <w:rFonts w:ascii="Times New Roman" w:hAnsi="Times New Roman"/>
                <w:b/>
                <w:i w:val="0"/>
                <w:color w:val="FFFFFF"/>
                <w:sz w:val="20"/>
              </w:rPr>
              <w:t>Basis Perhitungan</w:t>
            </w:r>
          </w:p>
        </w:tc>
        <w:tc>
          <w:tcPr>
            <w:tcW w:type="dxa" w:w="2280"/>
            <w:shd w:val="clear" w:color="auto" w:fill="1F497D"/>
          </w:tcPr>
          <w:p>
            <w:pPr>
              <w:jc w:val="center"/>
            </w:pPr>
            <w:r/>
            <w:r>
              <w:rPr>
                <w:rFonts w:ascii="Times New Roman" w:hAnsi="Times New Roman"/>
                <w:b/>
                <w:i w:val="0"/>
                <w:color w:val="FFFFFF"/>
                <w:sz w:val="20"/>
              </w:rPr>
              <w:t>Sensitif N Besar?</w:t>
            </w:r>
          </w:p>
        </w:tc>
        <w:tc>
          <w:tcPr>
            <w:tcW w:type="dxa" w:w="2280"/>
            <w:shd w:val="clear" w:color="auto" w:fill="1F497D"/>
          </w:tcPr>
          <w:p>
            <w:pPr>
              <w:jc w:val="center"/>
            </w:pPr>
            <w:r/>
            <w:r>
              <w:rPr>
                <w:rFonts w:ascii="Times New Roman" w:hAnsi="Times New Roman"/>
                <w:b/>
                <w:i w:val="0"/>
                <w:color w:val="FFFFFF"/>
                <w:sz w:val="20"/>
              </w:rPr>
              <w:t>Digunakan Untuk</w:t>
            </w:r>
          </w:p>
        </w:tc>
      </w:tr>
      <w:tr>
        <w:tc>
          <w:tcPr>
            <w:tcW w:type="dxa" w:w="2280"/>
          </w:tcPr>
          <w:p>
            <w:pPr>
              <w:jc w:val="left"/>
            </w:pPr>
            <w:r/>
            <w:r>
              <w:rPr>
                <w:rFonts w:ascii="Times New Roman" w:hAnsi="Times New Roman"/>
                <w:b w:val="0"/>
                <w:i w:val="0"/>
                <w:sz w:val="20"/>
              </w:rPr>
              <w:t>Hosmer-Lemeshow</w:t>
            </w:r>
          </w:p>
        </w:tc>
        <w:tc>
          <w:tcPr>
            <w:tcW w:type="dxa" w:w="2280"/>
          </w:tcPr>
          <w:p>
            <w:pPr>
              <w:jc w:val="left"/>
            </w:pPr>
            <w:r/>
            <w:r>
              <w:rPr>
                <w:rFonts w:ascii="Times New Roman" w:hAnsi="Times New Roman"/>
                <w:b w:val="0"/>
                <w:i w:val="0"/>
                <w:sz w:val="20"/>
              </w:rPr>
              <w:t>Chi-square observasi vs prediksi per desil</w:t>
            </w:r>
          </w:p>
        </w:tc>
        <w:tc>
          <w:tcPr>
            <w:tcW w:type="dxa" w:w="2280"/>
          </w:tcPr>
          <w:p>
            <w:pPr>
              <w:jc w:val="left"/>
            </w:pPr>
            <w:r/>
            <w:r>
              <w:rPr>
                <w:rFonts w:ascii="Times New Roman" w:hAnsi="Times New Roman"/>
                <w:b w:val="0"/>
                <w:i w:val="0"/>
                <w:sz w:val="20"/>
              </w:rPr>
              <w:t>Ya (N&gt;1.000)</w:t>
            </w:r>
          </w:p>
        </w:tc>
        <w:tc>
          <w:tcPr>
            <w:tcW w:type="dxa" w:w="2280"/>
          </w:tcPr>
          <w:p>
            <w:pPr>
              <w:jc w:val="left"/>
            </w:pPr>
            <w:r/>
            <w:r>
              <w:rPr>
                <w:rFonts w:ascii="Times New Roman" w:hAnsi="Times New Roman"/>
                <w:b w:val="0"/>
                <w:i w:val="0"/>
                <w:sz w:val="20"/>
              </w:rPr>
              <w:t>Kalibrasi model</w:t>
            </w:r>
          </w:p>
        </w:tc>
      </w:tr>
      <w:tr>
        <w:tc>
          <w:tcPr>
            <w:tcW w:type="dxa" w:w="2280"/>
          </w:tcPr>
          <w:p>
            <w:pPr>
              <w:jc w:val="left"/>
            </w:pPr>
            <w:r/>
            <w:r>
              <w:rPr>
                <w:rFonts w:ascii="Times New Roman" w:hAnsi="Times New Roman"/>
                <w:b w:val="0"/>
                <w:i w:val="0"/>
                <w:sz w:val="20"/>
              </w:rPr>
              <w:t>McFadden R²</w:t>
            </w:r>
          </w:p>
        </w:tc>
        <w:tc>
          <w:tcPr>
            <w:tcW w:type="dxa" w:w="2280"/>
          </w:tcPr>
          <w:p>
            <w:pPr>
              <w:jc w:val="left"/>
            </w:pPr>
            <w:r/>
            <w:r>
              <w:rPr>
                <w:rFonts w:ascii="Times New Roman" w:hAnsi="Times New Roman"/>
                <w:b w:val="0"/>
                <w:i w:val="0"/>
                <w:sz w:val="20"/>
              </w:rPr>
              <w:t>Rasio log-likelihood full vs null model</w:t>
            </w:r>
          </w:p>
        </w:tc>
        <w:tc>
          <w:tcPr>
            <w:tcW w:type="dxa" w:w="2280"/>
          </w:tcPr>
          <w:p>
            <w:pPr>
              <w:jc w:val="left"/>
            </w:pPr>
            <w:r/>
            <w:r>
              <w:rPr>
                <w:rFonts w:ascii="Times New Roman" w:hAnsi="Times New Roman"/>
                <w:b w:val="0"/>
                <w:i w:val="0"/>
                <w:sz w:val="20"/>
              </w:rPr>
              <w:t>Tidak</w:t>
            </w:r>
          </w:p>
        </w:tc>
        <w:tc>
          <w:tcPr>
            <w:tcW w:type="dxa" w:w="2280"/>
          </w:tcPr>
          <w:p>
            <w:pPr>
              <w:jc w:val="left"/>
            </w:pPr>
            <w:r/>
            <w:r>
              <w:rPr>
                <w:rFonts w:ascii="Times New Roman" w:hAnsi="Times New Roman"/>
                <w:b w:val="0"/>
                <w:i w:val="0"/>
                <w:sz w:val="20"/>
              </w:rPr>
              <w:t>Kekuatan fit model</w:t>
            </w:r>
          </w:p>
        </w:tc>
      </w:tr>
      <w:tr>
        <w:tc>
          <w:tcPr>
            <w:tcW w:type="dxa" w:w="2280"/>
          </w:tcPr>
          <w:p>
            <w:pPr>
              <w:jc w:val="left"/>
            </w:pPr>
            <w:r/>
            <w:r>
              <w:rPr>
                <w:rFonts w:ascii="Times New Roman" w:hAnsi="Times New Roman"/>
                <w:b w:val="0"/>
                <w:i w:val="0"/>
                <w:sz w:val="20"/>
              </w:rPr>
              <w:t>AUC / ROC</w:t>
            </w:r>
          </w:p>
        </w:tc>
        <w:tc>
          <w:tcPr>
            <w:tcW w:type="dxa" w:w="2280"/>
          </w:tcPr>
          <w:p>
            <w:pPr>
              <w:jc w:val="left"/>
            </w:pPr>
            <w:r/>
            <w:r>
              <w:rPr>
                <w:rFonts w:ascii="Times New Roman" w:hAnsi="Times New Roman"/>
                <w:b w:val="0"/>
                <w:i w:val="0"/>
                <w:sz w:val="20"/>
              </w:rPr>
              <w:t>Kemampuan membedakan Y=1 vs Y=0</w:t>
            </w:r>
          </w:p>
        </w:tc>
        <w:tc>
          <w:tcPr>
            <w:tcW w:type="dxa" w:w="2280"/>
          </w:tcPr>
          <w:p>
            <w:pPr>
              <w:jc w:val="left"/>
            </w:pPr>
            <w:r/>
            <w:r>
              <w:rPr>
                <w:rFonts w:ascii="Times New Roman" w:hAnsi="Times New Roman"/>
                <w:b w:val="0"/>
                <w:i w:val="0"/>
                <w:sz w:val="20"/>
              </w:rPr>
              <w:t>Tidak</w:t>
            </w:r>
          </w:p>
        </w:tc>
        <w:tc>
          <w:tcPr>
            <w:tcW w:type="dxa" w:w="2280"/>
          </w:tcPr>
          <w:p>
            <w:pPr>
              <w:jc w:val="left"/>
            </w:pPr>
            <w:r/>
            <w:r>
              <w:rPr>
                <w:rFonts w:ascii="Times New Roman" w:hAnsi="Times New Roman"/>
                <w:b w:val="0"/>
                <w:i w:val="0"/>
                <w:sz w:val="20"/>
              </w:rPr>
              <w:t>Diskriminasi model</w:t>
            </w:r>
          </w:p>
        </w:tc>
      </w:tr>
      <w:tr>
        <w:tc>
          <w:tcPr>
            <w:tcW w:type="dxa" w:w="2280"/>
            <w:shd w:val="clear" w:color="auto" w:fill="FFC7CE"/>
          </w:tcPr>
          <w:p>
            <w:pPr>
              <w:jc w:val="left"/>
            </w:pPr>
            <w:r/>
            <w:r>
              <w:rPr>
                <w:rFonts w:ascii="Times New Roman" w:hAnsi="Times New Roman"/>
                <w:b/>
                <w:i w:val="0"/>
                <w:sz w:val="20"/>
              </w:rPr>
              <w:t>R² OLS</w:t>
            </w:r>
          </w:p>
        </w:tc>
        <w:tc>
          <w:tcPr>
            <w:tcW w:type="dxa" w:w="2280"/>
            <w:shd w:val="clear" w:color="auto" w:fill="FFC7CE"/>
          </w:tcPr>
          <w:p>
            <w:pPr>
              <w:jc w:val="left"/>
            </w:pPr>
            <w:r/>
            <w:r>
              <w:rPr>
                <w:rFonts w:ascii="Times New Roman" w:hAnsi="Times New Roman"/>
                <w:b/>
                <w:i w:val="0"/>
                <w:sz w:val="20"/>
              </w:rPr>
              <w:t>Proporsi varians dijelaskan</w:t>
            </w:r>
          </w:p>
        </w:tc>
        <w:tc>
          <w:tcPr>
            <w:tcW w:type="dxa" w:w="2280"/>
            <w:shd w:val="clear" w:color="auto" w:fill="FFC7CE"/>
          </w:tcPr>
          <w:p>
            <w:pPr>
              <w:jc w:val="left"/>
            </w:pPr>
            <w:r/>
            <w:r>
              <w:rPr>
                <w:rFonts w:ascii="Times New Roman" w:hAnsi="Times New Roman"/>
                <w:b/>
                <w:i w:val="0"/>
                <w:sz w:val="20"/>
              </w:rPr>
              <w:t>Tidak</w:t>
            </w:r>
          </w:p>
        </w:tc>
        <w:tc>
          <w:tcPr>
            <w:tcW w:type="dxa" w:w="2280"/>
            <w:shd w:val="clear" w:color="auto" w:fill="FFC7CE"/>
          </w:tcPr>
          <w:p>
            <w:pPr>
              <w:jc w:val="left"/>
            </w:pPr>
            <w:r/>
            <w:r>
              <w:rPr>
                <w:rFonts w:ascii="Times New Roman" w:hAnsi="Times New Roman"/>
                <w:b/>
                <w:i/>
                <w:sz w:val="20"/>
              </w:rPr>
              <w:t>TIDAK DIGUNAKAN di logistik</w:t>
            </w:r>
          </w:p>
        </w:tc>
      </w:tr>
    </w:tbl>
    <w:p/>
    <w:p>
      <w:pPr>
        <w:pStyle w:val="Heading2"/>
      </w:pPr>
      <w:r>
        <w:rPr>
          <w:rFonts w:ascii="Times New Roman" w:hAnsi="Times New Roman"/>
          <w:b/>
          <w:sz w:val="24"/>
        </w:rPr>
        <w:t>5. Hasil Goodness of Fit — 8 Model Penelitian</w:t>
      </w:r>
    </w:p>
    <w:p>
      <w:pPr>
        <w:pStyle w:val="Heading3"/>
      </w:pPr>
      <w:r>
        <w:rPr>
          <w:rFonts w:ascii="Times New Roman" w:hAnsi="Times New Roman"/>
          <w:b/>
          <w:sz w:val="22"/>
        </w:rPr>
        <w:t>5.1 Tabel Ringkasan</w:t>
      </w:r>
    </w:p>
    <w:tbl>
      <w:tblPr>
        <w:tblStyle w:val="TableGrid"/>
        <w:tblW w:type="auto" w:w="0"/>
        <w:tblLook w:firstColumn="1" w:firstRow="1" w:lastColumn="0" w:lastRow="0" w:noHBand="0" w:noVBand="1" w:val="04A0"/>
      </w:tblPr>
      <w:tblGrid>
        <w:gridCol w:w="912"/>
        <w:gridCol w:w="912"/>
        <w:gridCol w:w="912"/>
        <w:gridCol w:w="912"/>
        <w:gridCol w:w="912"/>
        <w:gridCol w:w="912"/>
        <w:gridCol w:w="912"/>
        <w:gridCol w:w="912"/>
        <w:gridCol w:w="912"/>
        <w:gridCol w:w="912"/>
      </w:tblGrid>
      <w:tr>
        <w:tc>
          <w:tcPr>
            <w:tcW w:type="dxa" w:w="912"/>
            <w:shd w:val="clear" w:color="auto" w:fill="1F497D"/>
          </w:tcPr>
          <w:p>
            <w:pPr>
              <w:jc w:val="center"/>
            </w:pPr>
            <w:r/>
            <w:r>
              <w:rPr>
                <w:rFonts w:ascii="Times New Roman" w:hAnsi="Times New Roman"/>
                <w:b/>
                <w:i w:val="0"/>
                <w:color w:val="FFFFFF"/>
                <w:sz w:val="20"/>
              </w:rPr>
              <w:t>Model</w:t>
            </w:r>
          </w:p>
        </w:tc>
        <w:tc>
          <w:tcPr>
            <w:tcW w:type="dxa" w:w="912"/>
            <w:shd w:val="clear" w:color="auto" w:fill="1F497D"/>
          </w:tcPr>
          <w:p>
            <w:pPr>
              <w:jc w:val="center"/>
            </w:pPr>
            <w:r/>
            <w:r>
              <w:rPr>
                <w:rFonts w:ascii="Times New Roman" w:hAnsi="Times New Roman"/>
                <w:b/>
                <w:i w:val="0"/>
                <w:color w:val="FFFFFF"/>
                <w:sz w:val="20"/>
              </w:rPr>
              <w:t>Nama Model</w:t>
            </w:r>
          </w:p>
        </w:tc>
        <w:tc>
          <w:tcPr>
            <w:tcW w:type="dxa" w:w="912"/>
            <w:shd w:val="clear" w:color="auto" w:fill="1F497D"/>
          </w:tcPr>
          <w:p>
            <w:pPr>
              <w:jc w:val="center"/>
            </w:pPr>
            <w:r/>
            <w:r>
              <w:rPr>
                <w:rFonts w:ascii="Times New Roman" w:hAnsi="Times New Roman"/>
                <w:b/>
                <w:i w:val="0"/>
                <w:color w:val="FFFFFF"/>
                <w:sz w:val="20"/>
              </w:rPr>
              <w:t>N</w:t>
            </w:r>
          </w:p>
        </w:tc>
        <w:tc>
          <w:tcPr>
            <w:tcW w:type="dxa" w:w="912"/>
            <w:shd w:val="clear" w:color="auto" w:fill="1F497D"/>
          </w:tcPr>
          <w:p>
            <w:pPr>
              <w:jc w:val="center"/>
            </w:pPr>
            <w:r/>
            <w:r>
              <w:rPr>
                <w:rFonts w:ascii="Times New Roman" w:hAnsi="Times New Roman"/>
                <w:b/>
                <w:i w:val="0"/>
                <w:color w:val="FFFFFF"/>
                <w:sz w:val="20"/>
              </w:rPr>
              <w:t>N Event</w:t>
            </w:r>
          </w:p>
        </w:tc>
        <w:tc>
          <w:tcPr>
            <w:tcW w:type="dxa" w:w="912"/>
            <w:shd w:val="clear" w:color="auto" w:fill="1F497D"/>
          </w:tcPr>
          <w:p>
            <w:pPr>
              <w:jc w:val="center"/>
            </w:pPr>
            <w:r/>
            <w:r>
              <w:rPr>
                <w:rFonts w:ascii="Times New Roman" w:hAnsi="Times New Roman"/>
                <w:b/>
                <w:i w:val="0"/>
                <w:color w:val="FFFFFF"/>
                <w:sz w:val="20"/>
              </w:rPr>
              <w:t>LL Null</w:t>
            </w:r>
          </w:p>
        </w:tc>
        <w:tc>
          <w:tcPr>
            <w:tcW w:type="dxa" w:w="912"/>
            <w:shd w:val="clear" w:color="auto" w:fill="1F497D"/>
          </w:tcPr>
          <w:p>
            <w:pPr>
              <w:jc w:val="center"/>
            </w:pPr>
            <w:r/>
            <w:r>
              <w:rPr>
                <w:rFonts w:ascii="Times New Roman" w:hAnsi="Times New Roman"/>
                <w:b/>
                <w:i w:val="0"/>
                <w:color w:val="FFFFFF"/>
                <w:sz w:val="20"/>
              </w:rPr>
              <w:t>LL Full</w:t>
            </w:r>
          </w:p>
        </w:tc>
        <w:tc>
          <w:tcPr>
            <w:tcW w:type="dxa" w:w="912"/>
            <w:shd w:val="clear" w:color="auto" w:fill="1F497D"/>
          </w:tcPr>
          <w:p>
            <w:pPr>
              <w:jc w:val="center"/>
            </w:pPr>
            <w:r/>
            <w:r>
              <w:rPr>
                <w:rFonts w:ascii="Times New Roman" w:hAnsi="Times New Roman"/>
                <w:b/>
                <w:i w:val="0"/>
                <w:color w:val="FFFFFF"/>
                <w:sz w:val="20"/>
              </w:rPr>
              <w:t>McFadden R²</w:t>
            </w:r>
          </w:p>
        </w:tc>
        <w:tc>
          <w:tcPr>
            <w:tcW w:type="dxa" w:w="912"/>
            <w:shd w:val="clear" w:color="auto" w:fill="1F497D"/>
          </w:tcPr>
          <w:p>
            <w:pPr>
              <w:jc w:val="center"/>
            </w:pPr>
            <w:r/>
            <w:r>
              <w:rPr>
                <w:rFonts w:ascii="Times New Roman" w:hAnsi="Times New Roman"/>
                <w:b/>
                <w:i w:val="0"/>
                <w:color w:val="FFFFFF"/>
                <w:sz w:val="20"/>
              </w:rPr>
              <w:t>Ket. R²</w:t>
            </w:r>
          </w:p>
        </w:tc>
        <w:tc>
          <w:tcPr>
            <w:tcW w:type="dxa" w:w="912"/>
            <w:shd w:val="clear" w:color="auto" w:fill="1F497D"/>
          </w:tcPr>
          <w:p>
            <w:pPr>
              <w:jc w:val="center"/>
            </w:pPr>
            <w:r/>
            <w:r>
              <w:rPr>
                <w:rFonts w:ascii="Times New Roman" w:hAnsi="Times New Roman"/>
                <w:b/>
                <w:i w:val="0"/>
                <w:color w:val="FFFFFF"/>
                <w:sz w:val="20"/>
              </w:rPr>
              <w:t>AUC</w:t>
            </w:r>
          </w:p>
        </w:tc>
        <w:tc>
          <w:tcPr>
            <w:tcW w:type="dxa" w:w="912"/>
            <w:shd w:val="clear" w:color="auto" w:fill="1F497D"/>
          </w:tcPr>
          <w:p>
            <w:pPr>
              <w:jc w:val="center"/>
            </w:pPr>
            <w:r/>
            <w:r>
              <w:rPr>
                <w:rFonts w:ascii="Times New Roman" w:hAnsi="Times New Roman"/>
                <w:b/>
                <w:i w:val="0"/>
                <w:color w:val="FFFFFF"/>
                <w:sz w:val="20"/>
              </w:rPr>
              <w:t>Ket. AUC</w:t>
            </w:r>
          </w:p>
        </w:tc>
      </w:tr>
      <w:tr>
        <w:tc>
          <w:tcPr>
            <w:tcW w:type="dxa" w:w="912"/>
          </w:tcPr>
          <w:p>
            <w:pPr>
              <w:jc w:val="center"/>
            </w:pPr>
            <w:r/>
            <w:r>
              <w:rPr>
                <w:rFonts w:ascii="Times New Roman" w:hAnsi="Times New Roman"/>
                <w:b/>
                <w:i w:val="0"/>
                <w:sz w:val="18"/>
              </w:rPr>
              <w:t>1a</w:t>
            </w:r>
          </w:p>
        </w:tc>
        <w:tc>
          <w:tcPr>
            <w:tcW w:type="dxa" w:w="912"/>
          </w:tcPr>
          <w:p>
            <w:pPr>
              <w:jc w:val="left"/>
            </w:pPr>
            <w:r/>
            <w:r>
              <w:rPr>
                <w:rFonts w:ascii="Times New Roman" w:hAnsi="Times New Roman"/>
                <w:b w:val="0"/>
                <w:i w:val="0"/>
                <w:sz w:val="18"/>
              </w:rPr>
              <w:t>Perempuan: Pernah Menikah (Base)</w:t>
            </w:r>
          </w:p>
        </w:tc>
        <w:tc>
          <w:tcPr>
            <w:tcW w:type="dxa" w:w="912"/>
          </w:tcPr>
          <w:p>
            <w:pPr>
              <w:jc w:val="center"/>
            </w:pPr>
            <w:r/>
            <w:r>
              <w:rPr>
                <w:rFonts w:ascii="Times New Roman" w:hAnsi="Times New Roman"/>
                <w:b w:val="0"/>
                <w:i w:val="0"/>
                <w:sz w:val="18"/>
              </w:rPr>
              <w:t>4,332</w:t>
            </w:r>
          </w:p>
        </w:tc>
        <w:tc>
          <w:tcPr>
            <w:tcW w:type="dxa" w:w="912"/>
          </w:tcPr>
          <w:p>
            <w:pPr>
              <w:jc w:val="center"/>
            </w:pPr>
            <w:r/>
            <w:r>
              <w:rPr>
                <w:rFonts w:ascii="Times New Roman" w:hAnsi="Times New Roman"/>
                <w:b w:val="0"/>
                <w:i w:val="0"/>
                <w:sz w:val="18"/>
              </w:rPr>
              <w:t>3,564</w:t>
            </w:r>
          </w:p>
        </w:tc>
        <w:tc>
          <w:tcPr>
            <w:tcW w:type="dxa" w:w="912"/>
          </w:tcPr>
          <w:p>
            <w:pPr>
              <w:jc w:val="center"/>
            </w:pPr>
            <w:r/>
            <w:r>
              <w:rPr>
                <w:rFonts w:ascii="Times New Roman" w:hAnsi="Times New Roman"/>
                <w:b w:val="0"/>
                <w:i w:val="0"/>
                <w:sz w:val="18"/>
              </w:rPr>
              <w:t>-2024.14</w:t>
            </w:r>
          </w:p>
        </w:tc>
        <w:tc>
          <w:tcPr>
            <w:tcW w:type="dxa" w:w="912"/>
          </w:tcPr>
          <w:p>
            <w:pPr>
              <w:jc w:val="center"/>
            </w:pPr>
            <w:r/>
            <w:r>
              <w:rPr>
                <w:rFonts w:ascii="Times New Roman" w:hAnsi="Times New Roman"/>
                <w:b w:val="0"/>
                <w:i w:val="0"/>
                <w:sz w:val="18"/>
              </w:rPr>
              <w:t>-1167.69</w:t>
            </w:r>
          </w:p>
        </w:tc>
        <w:tc>
          <w:tcPr>
            <w:tcW w:type="dxa" w:w="912"/>
            <w:shd w:val="clear" w:color="auto" w:fill="C6EFCE"/>
          </w:tcPr>
          <w:p>
            <w:pPr>
              <w:jc w:val="center"/>
            </w:pPr>
            <w:r/>
            <w:r>
              <w:rPr>
                <w:rFonts w:ascii="Times New Roman" w:hAnsi="Times New Roman"/>
                <w:b/>
                <w:i w:val="0"/>
                <w:sz w:val="18"/>
              </w:rPr>
              <w:t>0.4231</w:t>
            </w:r>
          </w:p>
        </w:tc>
        <w:tc>
          <w:tcPr>
            <w:tcW w:type="dxa" w:w="912"/>
            <w:shd w:val="clear" w:color="auto" w:fill="C6EFCE"/>
          </w:tcPr>
          <w:p>
            <w:pPr>
              <w:jc w:val="center"/>
            </w:pPr>
            <w:r/>
            <w:r>
              <w:rPr>
                <w:rFonts w:ascii="Times New Roman" w:hAnsi="Times New Roman"/>
                <w:b w:val="0"/>
                <w:i w:val="0"/>
                <w:sz w:val="18"/>
              </w:rPr>
              <w:t>Baik</w:t>
            </w:r>
          </w:p>
        </w:tc>
        <w:tc>
          <w:tcPr>
            <w:tcW w:type="dxa" w:w="912"/>
            <w:shd w:val="clear" w:color="auto" w:fill="C6EFCE"/>
          </w:tcPr>
          <w:p>
            <w:pPr>
              <w:jc w:val="center"/>
            </w:pPr>
            <w:r/>
            <w:r>
              <w:rPr>
                <w:rFonts w:ascii="Times New Roman" w:hAnsi="Times New Roman"/>
                <w:b/>
                <w:i w:val="0"/>
                <w:sz w:val="18"/>
              </w:rPr>
              <w:t>0.9079</w:t>
            </w:r>
          </w:p>
        </w:tc>
        <w:tc>
          <w:tcPr>
            <w:tcW w:type="dxa" w:w="912"/>
            <w:shd w:val="clear" w:color="auto" w:fill="C6EFCE"/>
          </w:tcPr>
          <w:p>
            <w:pPr>
              <w:jc w:val="center"/>
            </w:pPr>
            <w:r/>
            <w:r>
              <w:rPr>
                <w:rFonts w:ascii="Times New Roman" w:hAnsi="Times New Roman"/>
                <w:b w:val="0"/>
                <w:i w:val="0"/>
                <w:sz w:val="18"/>
              </w:rPr>
              <w:t>Sangat Baik</w:t>
            </w:r>
          </w:p>
        </w:tc>
      </w:tr>
      <w:tr>
        <w:tc>
          <w:tcPr>
            <w:tcW w:type="dxa" w:w="912"/>
            <w:shd w:val="clear" w:color="auto" w:fill="F2F9FF"/>
          </w:tcPr>
          <w:p>
            <w:pPr>
              <w:jc w:val="center"/>
            </w:pPr>
            <w:r/>
            <w:r>
              <w:rPr>
                <w:rFonts w:ascii="Times New Roman" w:hAnsi="Times New Roman"/>
                <w:b/>
                <w:i w:val="0"/>
                <w:sz w:val="18"/>
              </w:rPr>
              <w:t>1b</w:t>
            </w:r>
          </w:p>
        </w:tc>
        <w:tc>
          <w:tcPr>
            <w:tcW w:type="dxa" w:w="912"/>
            <w:shd w:val="clear" w:color="auto" w:fill="F2F9FF"/>
          </w:tcPr>
          <w:p>
            <w:pPr>
              <w:jc w:val="left"/>
            </w:pPr>
            <w:r/>
            <w:r>
              <w:rPr>
                <w:rFonts w:ascii="Times New Roman" w:hAnsi="Times New Roman"/>
                <w:b w:val="0"/>
                <w:i w:val="0"/>
                <w:sz w:val="18"/>
              </w:rPr>
              <w:t>Perempuan: Pernah Menikah (Extended)</w:t>
            </w:r>
          </w:p>
        </w:tc>
        <w:tc>
          <w:tcPr>
            <w:tcW w:type="dxa" w:w="912"/>
            <w:shd w:val="clear" w:color="auto" w:fill="F2F9FF"/>
          </w:tcPr>
          <w:p>
            <w:pPr>
              <w:jc w:val="center"/>
            </w:pPr>
            <w:r/>
            <w:r>
              <w:rPr>
                <w:rFonts w:ascii="Times New Roman" w:hAnsi="Times New Roman"/>
                <w:b w:val="0"/>
                <w:i w:val="0"/>
                <w:sz w:val="18"/>
              </w:rPr>
              <w:t>4,332</w:t>
            </w:r>
          </w:p>
        </w:tc>
        <w:tc>
          <w:tcPr>
            <w:tcW w:type="dxa" w:w="912"/>
            <w:shd w:val="clear" w:color="auto" w:fill="F2F9FF"/>
          </w:tcPr>
          <w:p>
            <w:pPr>
              <w:jc w:val="center"/>
            </w:pPr>
            <w:r/>
            <w:r>
              <w:rPr>
                <w:rFonts w:ascii="Times New Roman" w:hAnsi="Times New Roman"/>
                <w:b w:val="0"/>
                <w:i w:val="0"/>
                <w:sz w:val="18"/>
              </w:rPr>
              <w:t>3,564</w:t>
            </w:r>
          </w:p>
        </w:tc>
        <w:tc>
          <w:tcPr>
            <w:tcW w:type="dxa" w:w="912"/>
            <w:shd w:val="clear" w:color="auto" w:fill="F2F9FF"/>
          </w:tcPr>
          <w:p>
            <w:pPr>
              <w:jc w:val="center"/>
            </w:pPr>
            <w:r/>
            <w:r>
              <w:rPr>
                <w:rFonts w:ascii="Times New Roman" w:hAnsi="Times New Roman"/>
                <w:b w:val="0"/>
                <w:i w:val="0"/>
                <w:sz w:val="18"/>
              </w:rPr>
              <w:t>-2024.14</w:t>
            </w:r>
          </w:p>
        </w:tc>
        <w:tc>
          <w:tcPr>
            <w:tcW w:type="dxa" w:w="912"/>
            <w:shd w:val="clear" w:color="auto" w:fill="F2F9FF"/>
          </w:tcPr>
          <w:p>
            <w:pPr>
              <w:jc w:val="center"/>
            </w:pPr>
            <w:r/>
            <w:r>
              <w:rPr>
                <w:rFonts w:ascii="Times New Roman" w:hAnsi="Times New Roman"/>
                <w:b w:val="0"/>
                <w:i w:val="0"/>
                <w:sz w:val="18"/>
              </w:rPr>
              <w:t>-1159.58</w:t>
            </w:r>
          </w:p>
        </w:tc>
        <w:tc>
          <w:tcPr>
            <w:tcW w:type="dxa" w:w="912"/>
            <w:shd w:val="clear" w:color="auto" w:fill="C6EFCE"/>
          </w:tcPr>
          <w:p>
            <w:pPr>
              <w:jc w:val="center"/>
            </w:pPr>
            <w:r/>
            <w:r>
              <w:rPr>
                <w:rFonts w:ascii="Times New Roman" w:hAnsi="Times New Roman"/>
                <w:b/>
                <w:i w:val="0"/>
                <w:sz w:val="18"/>
              </w:rPr>
              <w:t>0.4271</w:t>
            </w:r>
          </w:p>
        </w:tc>
        <w:tc>
          <w:tcPr>
            <w:tcW w:type="dxa" w:w="912"/>
            <w:shd w:val="clear" w:color="auto" w:fill="C6EFCE"/>
          </w:tcPr>
          <w:p>
            <w:pPr>
              <w:jc w:val="center"/>
            </w:pPr>
            <w:r/>
            <w:r>
              <w:rPr>
                <w:rFonts w:ascii="Times New Roman" w:hAnsi="Times New Roman"/>
                <w:b w:val="0"/>
                <w:i w:val="0"/>
                <w:sz w:val="18"/>
              </w:rPr>
              <w:t>Baik</w:t>
            </w:r>
          </w:p>
        </w:tc>
        <w:tc>
          <w:tcPr>
            <w:tcW w:type="dxa" w:w="912"/>
            <w:shd w:val="clear" w:color="auto" w:fill="C6EFCE"/>
          </w:tcPr>
          <w:p>
            <w:pPr>
              <w:jc w:val="center"/>
            </w:pPr>
            <w:r/>
            <w:r>
              <w:rPr>
                <w:rFonts w:ascii="Times New Roman" w:hAnsi="Times New Roman"/>
                <w:b/>
                <w:i w:val="0"/>
                <w:sz w:val="18"/>
              </w:rPr>
              <w:t>0.9090</w:t>
            </w:r>
          </w:p>
        </w:tc>
        <w:tc>
          <w:tcPr>
            <w:tcW w:type="dxa" w:w="912"/>
            <w:shd w:val="clear" w:color="auto" w:fill="C6EFCE"/>
          </w:tcPr>
          <w:p>
            <w:pPr>
              <w:jc w:val="center"/>
            </w:pPr>
            <w:r/>
            <w:r>
              <w:rPr>
                <w:rFonts w:ascii="Times New Roman" w:hAnsi="Times New Roman"/>
                <w:b w:val="0"/>
                <w:i w:val="0"/>
                <w:sz w:val="18"/>
              </w:rPr>
              <w:t>Sangat Baik</w:t>
            </w:r>
          </w:p>
        </w:tc>
      </w:tr>
      <w:tr>
        <w:tc>
          <w:tcPr>
            <w:tcW w:type="dxa" w:w="912"/>
          </w:tcPr>
          <w:p>
            <w:pPr>
              <w:jc w:val="center"/>
            </w:pPr>
            <w:r/>
            <w:r>
              <w:rPr>
                <w:rFonts w:ascii="Times New Roman" w:hAnsi="Times New Roman"/>
                <w:b/>
                <w:i w:val="0"/>
                <w:sz w:val="18"/>
              </w:rPr>
              <w:t>2a</w:t>
            </w:r>
          </w:p>
        </w:tc>
        <w:tc>
          <w:tcPr>
            <w:tcW w:type="dxa" w:w="912"/>
          </w:tcPr>
          <w:p>
            <w:pPr>
              <w:jc w:val="left"/>
            </w:pPr>
            <w:r/>
            <w:r>
              <w:rPr>
                <w:rFonts w:ascii="Times New Roman" w:hAnsi="Times New Roman"/>
                <w:b w:val="0"/>
                <w:i w:val="0"/>
                <w:sz w:val="18"/>
              </w:rPr>
              <w:t>Laki-laki: Pernah Menikah (Base)</w:t>
            </w:r>
          </w:p>
        </w:tc>
        <w:tc>
          <w:tcPr>
            <w:tcW w:type="dxa" w:w="912"/>
          </w:tcPr>
          <w:p>
            <w:pPr>
              <w:jc w:val="center"/>
            </w:pPr>
            <w:r/>
            <w:r>
              <w:rPr>
                <w:rFonts w:ascii="Times New Roman" w:hAnsi="Times New Roman"/>
                <w:b w:val="0"/>
                <w:i w:val="0"/>
                <w:sz w:val="18"/>
              </w:rPr>
              <w:t>7,651</w:t>
            </w:r>
          </w:p>
        </w:tc>
        <w:tc>
          <w:tcPr>
            <w:tcW w:type="dxa" w:w="912"/>
          </w:tcPr>
          <w:p>
            <w:pPr>
              <w:jc w:val="center"/>
            </w:pPr>
            <w:r/>
            <w:r>
              <w:rPr>
                <w:rFonts w:ascii="Times New Roman" w:hAnsi="Times New Roman"/>
                <w:b w:val="0"/>
                <w:i w:val="0"/>
                <w:sz w:val="18"/>
              </w:rPr>
              <w:t>6,145</w:t>
            </w:r>
          </w:p>
        </w:tc>
        <w:tc>
          <w:tcPr>
            <w:tcW w:type="dxa" w:w="912"/>
          </w:tcPr>
          <w:p>
            <w:pPr>
              <w:jc w:val="center"/>
            </w:pPr>
            <w:r/>
            <w:r>
              <w:rPr>
                <w:rFonts w:ascii="Times New Roman" w:hAnsi="Times New Roman"/>
                <w:b w:val="0"/>
                <w:i w:val="0"/>
                <w:sz w:val="18"/>
              </w:rPr>
              <w:t>-3794.79</w:t>
            </w:r>
          </w:p>
        </w:tc>
        <w:tc>
          <w:tcPr>
            <w:tcW w:type="dxa" w:w="912"/>
          </w:tcPr>
          <w:p>
            <w:pPr>
              <w:jc w:val="center"/>
            </w:pPr>
            <w:r/>
            <w:r>
              <w:rPr>
                <w:rFonts w:ascii="Times New Roman" w:hAnsi="Times New Roman"/>
                <w:b w:val="0"/>
                <w:i w:val="0"/>
                <w:sz w:val="18"/>
              </w:rPr>
              <w:t>-2300.43</w:t>
            </w:r>
          </w:p>
        </w:tc>
        <w:tc>
          <w:tcPr>
            <w:tcW w:type="dxa" w:w="912"/>
            <w:shd w:val="clear" w:color="auto" w:fill="C6EFCE"/>
          </w:tcPr>
          <w:p>
            <w:pPr>
              <w:jc w:val="center"/>
            </w:pPr>
            <w:r/>
            <w:r>
              <w:rPr>
                <w:rFonts w:ascii="Times New Roman" w:hAnsi="Times New Roman"/>
                <w:b/>
                <w:i w:val="0"/>
                <w:sz w:val="18"/>
              </w:rPr>
              <w:t>0.3938</w:t>
            </w:r>
          </w:p>
        </w:tc>
        <w:tc>
          <w:tcPr>
            <w:tcW w:type="dxa" w:w="912"/>
            <w:shd w:val="clear" w:color="auto" w:fill="C6EFCE"/>
          </w:tcPr>
          <w:p>
            <w:pPr>
              <w:jc w:val="center"/>
            </w:pPr>
            <w:r/>
            <w:r>
              <w:rPr>
                <w:rFonts w:ascii="Times New Roman" w:hAnsi="Times New Roman"/>
                <w:b w:val="0"/>
                <w:i w:val="0"/>
                <w:sz w:val="18"/>
              </w:rPr>
              <w:t>Baik</w:t>
            </w:r>
          </w:p>
        </w:tc>
        <w:tc>
          <w:tcPr>
            <w:tcW w:type="dxa" w:w="912"/>
            <w:shd w:val="clear" w:color="auto" w:fill="C6EFCE"/>
          </w:tcPr>
          <w:p>
            <w:pPr>
              <w:jc w:val="center"/>
            </w:pPr>
            <w:r/>
            <w:r>
              <w:rPr>
                <w:rFonts w:ascii="Times New Roman" w:hAnsi="Times New Roman"/>
                <w:b/>
                <w:i w:val="0"/>
                <w:sz w:val="18"/>
              </w:rPr>
              <w:t>0.8938</w:t>
            </w:r>
          </w:p>
        </w:tc>
        <w:tc>
          <w:tcPr>
            <w:tcW w:type="dxa" w:w="912"/>
            <w:shd w:val="clear" w:color="auto" w:fill="C6EFCE"/>
          </w:tcPr>
          <w:p>
            <w:pPr>
              <w:jc w:val="center"/>
            </w:pPr>
            <w:r/>
            <w:r>
              <w:rPr>
                <w:rFonts w:ascii="Times New Roman" w:hAnsi="Times New Roman"/>
                <w:b w:val="0"/>
                <w:i w:val="0"/>
                <w:sz w:val="18"/>
              </w:rPr>
              <w:t>Sangat Baik</w:t>
            </w:r>
          </w:p>
        </w:tc>
      </w:tr>
      <w:tr>
        <w:tc>
          <w:tcPr>
            <w:tcW w:type="dxa" w:w="912"/>
            <w:shd w:val="clear" w:color="auto" w:fill="F2F9FF"/>
          </w:tcPr>
          <w:p>
            <w:pPr>
              <w:jc w:val="center"/>
            </w:pPr>
            <w:r/>
            <w:r>
              <w:rPr>
                <w:rFonts w:ascii="Times New Roman" w:hAnsi="Times New Roman"/>
                <w:b/>
                <w:i w:val="0"/>
                <w:sz w:val="18"/>
              </w:rPr>
              <w:t>2b</w:t>
            </w:r>
          </w:p>
        </w:tc>
        <w:tc>
          <w:tcPr>
            <w:tcW w:type="dxa" w:w="912"/>
            <w:shd w:val="clear" w:color="auto" w:fill="F2F9FF"/>
          </w:tcPr>
          <w:p>
            <w:pPr>
              <w:jc w:val="left"/>
            </w:pPr>
            <w:r/>
            <w:r>
              <w:rPr>
                <w:rFonts w:ascii="Times New Roman" w:hAnsi="Times New Roman"/>
                <w:b w:val="0"/>
                <w:i w:val="0"/>
                <w:sz w:val="18"/>
              </w:rPr>
              <w:t>Laki-laki: Pernah Menikah (Extended)</w:t>
            </w:r>
          </w:p>
        </w:tc>
        <w:tc>
          <w:tcPr>
            <w:tcW w:type="dxa" w:w="912"/>
            <w:shd w:val="clear" w:color="auto" w:fill="F2F9FF"/>
          </w:tcPr>
          <w:p>
            <w:pPr>
              <w:jc w:val="center"/>
            </w:pPr>
            <w:r/>
            <w:r>
              <w:rPr>
                <w:rFonts w:ascii="Times New Roman" w:hAnsi="Times New Roman"/>
                <w:b w:val="0"/>
                <w:i w:val="0"/>
                <w:sz w:val="18"/>
              </w:rPr>
              <w:t>7,651</w:t>
            </w:r>
          </w:p>
        </w:tc>
        <w:tc>
          <w:tcPr>
            <w:tcW w:type="dxa" w:w="912"/>
            <w:shd w:val="clear" w:color="auto" w:fill="F2F9FF"/>
          </w:tcPr>
          <w:p>
            <w:pPr>
              <w:jc w:val="center"/>
            </w:pPr>
            <w:r/>
            <w:r>
              <w:rPr>
                <w:rFonts w:ascii="Times New Roman" w:hAnsi="Times New Roman"/>
                <w:b w:val="0"/>
                <w:i w:val="0"/>
                <w:sz w:val="18"/>
              </w:rPr>
              <w:t>6,145</w:t>
            </w:r>
          </w:p>
        </w:tc>
        <w:tc>
          <w:tcPr>
            <w:tcW w:type="dxa" w:w="912"/>
            <w:shd w:val="clear" w:color="auto" w:fill="F2F9FF"/>
          </w:tcPr>
          <w:p>
            <w:pPr>
              <w:jc w:val="center"/>
            </w:pPr>
            <w:r/>
            <w:r>
              <w:rPr>
                <w:rFonts w:ascii="Times New Roman" w:hAnsi="Times New Roman"/>
                <w:b w:val="0"/>
                <w:i w:val="0"/>
                <w:sz w:val="18"/>
              </w:rPr>
              <w:t>-3794.79</w:t>
            </w:r>
          </w:p>
        </w:tc>
        <w:tc>
          <w:tcPr>
            <w:tcW w:type="dxa" w:w="912"/>
            <w:shd w:val="clear" w:color="auto" w:fill="F2F9FF"/>
          </w:tcPr>
          <w:p>
            <w:pPr>
              <w:jc w:val="center"/>
            </w:pPr>
            <w:r/>
            <w:r>
              <w:rPr>
                <w:rFonts w:ascii="Times New Roman" w:hAnsi="Times New Roman"/>
                <w:b w:val="0"/>
                <w:i w:val="0"/>
                <w:sz w:val="18"/>
              </w:rPr>
              <w:t>-2280.86</w:t>
            </w:r>
          </w:p>
        </w:tc>
        <w:tc>
          <w:tcPr>
            <w:tcW w:type="dxa" w:w="912"/>
            <w:shd w:val="clear" w:color="auto" w:fill="C6EFCE"/>
          </w:tcPr>
          <w:p>
            <w:pPr>
              <w:jc w:val="center"/>
            </w:pPr>
            <w:r/>
            <w:r>
              <w:rPr>
                <w:rFonts w:ascii="Times New Roman" w:hAnsi="Times New Roman"/>
                <w:b/>
                <w:i w:val="0"/>
                <w:sz w:val="18"/>
              </w:rPr>
              <w:t>0.3989</w:t>
            </w:r>
          </w:p>
        </w:tc>
        <w:tc>
          <w:tcPr>
            <w:tcW w:type="dxa" w:w="912"/>
            <w:shd w:val="clear" w:color="auto" w:fill="C6EFCE"/>
          </w:tcPr>
          <w:p>
            <w:pPr>
              <w:jc w:val="center"/>
            </w:pPr>
            <w:r/>
            <w:r>
              <w:rPr>
                <w:rFonts w:ascii="Times New Roman" w:hAnsi="Times New Roman"/>
                <w:b w:val="0"/>
                <w:i w:val="0"/>
                <w:sz w:val="18"/>
              </w:rPr>
              <w:t>Baik</w:t>
            </w:r>
          </w:p>
        </w:tc>
        <w:tc>
          <w:tcPr>
            <w:tcW w:type="dxa" w:w="912"/>
            <w:shd w:val="clear" w:color="auto" w:fill="C6EFCE"/>
          </w:tcPr>
          <w:p>
            <w:pPr>
              <w:jc w:val="center"/>
            </w:pPr>
            <w:r/>
            <w:r>
              <w:rPr>
                <w:rFonts w:ascii="Times New Roman" w:hAnsi="Times New Roman"/>
                <w:b/>
                <w:i w:val="0"/>
                <w:sz w:val="18"/>
              </w:rPr>
              <w:t>0.8959</w:t>
            </w:r>
          </w:p>
        </w:tc>
        <w:tc>
          <w:tcPr>
            <w:tcW w:type="dxa" w:w="912"/>
            <w:shd w:val="clear" w:color="auto" w:fill="C6EFCE"/>
          </w:tcPr>
          <w:p>
            <w:pPr>
              <w:jc w:val="center"/>
            </w:pPr>
            <w:r/>
            <w:r>
              <w:rPr>
                <w:rFonts w:ascii="Times New Roman" w:hAnsi="Times New Roman"/>
                <w:b w:val="0"/>
                <w:i w:val="0"/>
                <w:sz w:val="18"/>
              </w:rPr>
              <w:t>Sangat Baik</w:t>
            </w:r>
          </w:p>
        </w:tc>
      </w:tr>
      <w:tr>
        <w:tc>
          <w:tcPr>
            <w:tcW w:type="dxa" w:w="912"/>
          </w:tcPr>
          <w:p>
            <w:pPr>
              <w:jc w:val="center"/>
            </w:pPr>
            <w:r/>
            <w:r>
              <w:rPr>
                <w:rFonts w:ascii="Times New Roman" w:hAnsi="Times New Roman"/>
                <w:b/>
                <w:i w:val="0"/>
                <w:sz w:val="18"/>
              </w:rPr>
              <w:t>3a</w:t>
            </w:r>
          </w:p>
        </w:tc>
        <w:tc>
          <w:tcPr>
            <w:tcW w:type="dxa" w:w="912"/>
          </w:tcPr>
          <w:p>
            <w:pPr>
              <w:jc w:val="left"/>
            </w:pPr>
            <w:r/>
            <w:r>
              <w:rPr>
                <w:rFonts w:ascii="Times New Roman" w:hAnsi="Times New Roman"/>
                <w:b w:val="0"/>
                <w:i w:val="0"/>
                <w:sz w:val="18"/>
              </w:rPr>
              <w:t>Perempuan: Pernah Cerai (Base)</w:t>
            </w:r>
          </w:p>
        </w:tc>
        <w:tc>
          <w:tcPr>
            <w:tcW w:type="dxa" w:w="912"/>
          </w:tcPr>
          <w:p>
            <w:pPr>
              <w:jc w:val="center"/>
            </w:pPr>
            <w:r/>
            <w:r>
              <w:rPr>
                <w:rFonts w:ascii="Times New Roman" w:hAnsi="Times New Roman"/>
                <w:b w:val="0"/>
                <w:i w:val="0"/>
                <w:sz w:val="18"/>
              </w:rPr>
              <w:t>4,332</w:t>
            </w:r>
          </w:p>
        </w:tc>
        <w:tc>
          <w:tcPr>
            <w:tcW w:type="dxa" w:w="912"/>
          </w:tcPr>
          <w:p>
            <w:pPr>
              <w:jc w:val="center"/>
            </w:pPr>
            <w:r/>
            <w:r>
              <w:rPr>
                <w:rFonts w:ascii="Times New Roman" w:hAnsi="Times New Roman"/>
                <w:b w:val="0"/>
                <w:i w:val="0"/>
                <w:sz w:val="18"/>
              </w:rPr>
              <w:t>204</w:t>
            </w:r>
          </w:p>
        </w:tc>
        <w:tc>
          <w:tcPr>
            <w:tcW w:type="dxa" w:w="912"/>
          </w:tcPr>
          <w:p>
            <w:pPr>
              <w:jc w:val="center"/>
            </w:pPr>
            <w:r/>
            <w:r>
              <w:rPr>
                <w:rFonts w:ascii="Times New Roman" w:hAnsi="Times New Roman"/>
                <w:b w:val="0"/>
                <w:i w:val="0"/>
                <w:sz w:val="18"/>
              </w:rPr>
              <w:t>-822.48</w:t>
            </w:r>
          </w:p>
        </w:tc>
        <w:tc>
          <w:tcPr>
            <w:tcW w:type="dxa" w:w="912"/>
          </w:tcPr>
          <w:p>
            <w:pPr>
              <w:jc w:val="center"/>
            </w:pPr>
            <w:r/>
            <w:r>
              <w:rPr>
                <w:rFonts w:ascii="Times New Roman" w:hAnsi="Times New Roman"/>
                <w:b w:val="0"/>
                <w:i w:val="0"/>
                <w:sz w:val="18"/>
              </w:rPr>
              <w:t>-800.12</w:t>
            </w:r>
          </w:p>
        </w:tc>
        <w:tc>
          <w:tcPr>
            <w:tcW w:type="dxa" w:w="912"/>
            <w:shd w:val="clear" w:color="auto" w:fill="FFC7CE"/>
          </w:tcPr>
          <w:p>
            <w:pPr>
              <w:jc w:val="center"/>
            </w:pPr>
            <w:r/>
            <w:r>
              <w:rPr>
                <w:rFonts w:ascii="Times New Roman" w:hAnsi="Times New Roman"/>
                <w:b/>
                <w:i w:val="0"/>
                <w:sz w:val="18"/>
              </w:rPr>
              <w:t>0.0272</w:t>
            </w:r>
          </w:p>
        </w:tc>
        <w:tc>
          <w:tcPr>
            <w:tcW w:type="dxa" w:w="912"/>
            <w:shd w:val="clear" w:color="auto" w:fill="FFC7CE"/>
          </w:tcPr>
          <w:p>
            <w:pPr>
              <w:jc w:val="center"/>
            </w:pPr>
            <w:r/>
            <w:r>
              <w:rPr>
                <w:rFonts w:ascii="Times New Roman" w:hAnsi="Times New Roman"/>
                <w:b w:val="0"/>
                <w:i w:val="0"/>
                <w:sz w:val="18"/>
              </w:rPr>
              <w:t>Lemah</w:t>
            </w:r>
          </w:p>
        </w:tc>
        <w:tc>
          <w:tcPr>
            <w:tcW w:type="dxa" w:w="912"/>
            <w:shd w:val="clear" w:color="auto" w:fill="FFC7CE"/>
          </w:tcPr>
          <w:p>
            <w:pPr>
              <w:jc w:val="center"/>
            </w:pPr>
            <w:r/>
            <w:r>
              <w:rPr>
                <w:rFonts w:ascii="Times New Roman" w:hAnsi="Times New Roman"/>
                <w:b/>
                <w:i w:val="0"/>
                <w:sz w:val="18"/>
              </w:rPr>
              <w:t>0.6330</w:t>
            </w:r>
          </w:p>
        </w:tc>
        <w:tc>
          <w:tcPr>
            <w:tcW w:type="dxa" w:w="912"/>
            <w:shd w:val="clear" w:color="auto" w:fill="FFC7CE"/>
          </w:tcPr>
          <w:p>
            <w:pPr>
              <w:jc w:val="center"/>
            </w:pPr>
            <w:r/>
            <w:r>
              <w:rPr>
                <w:rFonts w:ascii="Times New Roman" w:hAnsi="Times New Roman"/>
                <w:b w:val="0"/>
                <w:i w:val="0"/>
                <w:sz w:val="18"/>
              </w:rPr>
              <w:t>Cukup</w:t>
            </w:r>
          </w:p>
        </w:tc>
      </w:tr>
      <w:tr>
        <w:tc>
          <w:tcPr>
            <w:tcW w:type="dxa" w:w="912"/>
            <w:shd w:val="clear" w:color="auto" w:fill="F2F9FF"/>
          </w:tcPr>
          <w:p>
            <w:pPr>
              <w:jc w:val="center"/>
            </w:pPr>
            <w:r/>
            <w:r>
              <w:rPr>
                <w:rFonts w:ascii="Times New Roman" w:hAnsi="Times New Roman"/>
                <w:b/>
                <w:i w:val="0"/>
                <w:sz w:val="18"/>
              </w:rPr>
              <w:t>3b</w:t>
            </w:r>
          </w:p>
        </w:tc>
        <w:tc>
          <w:tcPr>
            <w:tcW w:type="dxa" w:w="912"/>
            <w:shd w:val="clear" w:color="auto" w:fill="F2F9FF"/>
          </w:tcPr>
          <w:p>
            <w:pPr>
              <w:jc w:val="left"/>
            </w:pPr>
            <w:r/>
            <w:r>
              <w:rPr>
                <w:rFonts w:ascii="Times New Roman" w:hAnsi="Times New Roman"/>
                <w:b w:val="0"/>
                <w:i w:val="0"/>
                <w:sz w:val="18"/>
              </w:rPr>
              <w:t>Perempuan: Pernah Cerai (Extended)</w:t>
            </w:r>
          </w:p>
        </w:tc>
        <w:tc>
          <w:tcPr>
            <w:tcW w:type="dxa" w:w="912"/>
            <w:shd w:val="clear" w:color="auto" w:fill="F2F9FF"/>
          </w:tcPr>
          <w:p>
            <w:pPr>
              <w:jc w:val="center"/>
            </w:pPr>
            <w:r/>
            <w:r>
              <w:rPr>
                <w:rFonts w:ascii="Times New Roman" w:hAnsi="Times New Roman"/>
                <w:b w:val="0"/>
                <w:i w:val="0"/>
                <w:sz w:val="18"/>
              </w:rPr>
              <w:t>4,332</w:t>
            </w:r>
          </w:p>
        </w:tc>
        <w:tc>
          <w:tcPr>
            <w:tcW w:type="dxa" w:w="912"/>
            <w:shd w:val="clear" w:color="auto" w:fill="F2F9FF"/>
          </w:tcPr>
          <w:p>
            <w:pPr>
              <w:jc w:val="center"/>
            </w:pPr>
            <w:r/>
            <w:r>
              <w:rPr>
                <w:rFonts w:ascii="Times New Roman" w:hAnsi="Times New Roman"/>
                <w:b w:val="0"/>
                <w:i w:val="0"/>
                <w:sz w:val="18"/>
              </w:rPr>
              <w:t>204</w:t>
            </w:r>
          </w:p>
        </w:tc>
        <w:tc>
          <w:tcPr>
            <w:tcW w:type="dxa" w:w="912"/>
            <w:shd w:val="clear" w:color="auto" w:fill="F2F9FF"/>
          </w:tcPr>
          <w:p>
            <w:pPr>
              <w:jc w:val="center"/>
            </w:pPr>
            <w:r/>
            <w:r>
              <w:rPr>
                <w:rFonts w:ascii="Times New Roman" w:hAnsi="Times New Roman"/>
                <w:b w:val="0"/>
                <w:i w:val="0"/>
                <w:sz w:val="18"/>
              </w:rPr>
              <w:t>-822.48</w:t>
            </w:r>
          </w:p>
        </w:tc>
        <w:tc>
          <w:tcPr>
            <w:tcW w:type="dxa" w:w="912"/>
            <w:shd w:val="clear" w:color="auto" w:fill="F2F9FF"/>
          </w:tcPr>
          <w:p>
            <w:pPr>
              <w:jc w:val="center"/>
            </w:pPr>
            <w:r/>
            <w:r>
              <w:rPr>
                <w:rFonts w:ascii="Times New Roman" w:hAnsi="Times New Roman"/>
                <w:b w:val="0"/>
                <w:i w:val="0"/>
                <w:sz w:val="18"/>
              </w:rPr>
              <w:t>-800.03</w:t>
            </w:r>
          </w:p>
        </w:tc>
        <w:tc>
          <w:tcPr>
            <w:tcW w:type="dxa" w:w="912"/>
            <w:shd w:val="clear" w:color="auto" w:fill="FFC7CE"/>
          </w:tcPr>
          <w:p>
            <w:pPr>
              <w:jc w:val="center"/>
            </w:pPr>
            <w:r/>
            <w:r>
              <w:rPr>
                <w:rFonts w:ascii="Times New Roman" w:hAnsi="Times New Roman"/>
                <w:b/>
                <w:i w:val="0"/>
                <w:sz w:val="18"/>
              </w:rPr>
              <w:t>0.0273</w:t>
            </w:r>
          </w:p>
        </w:tc>
        <w:tc>
          <w:tcPr>
            <w:tcW w:type="dxa" w:w="912"/>
            <w:shd w:val="clear" w:color="auto" w:fill="FFC7CE"/>
          </w:tcPr>
          <w:p>
            <w:pPr>
              <w:jc w:val="center"/>
            </w:pPr>
            <w:r/>
            <w:r>
              <w:rPr>
                <w:rFonts w:ascii="Times New Roman" w:hAnsi="Times New Roman"/>
                <w:b w:val="0"/>
                <w:i w:val="0"/>
                <w:sz w:val="18"/>
              </w:rPr>
              <w:t>Lemah</w:t>
            </w:r>
          </w:p>
        </w:tc>
        <w:tc>
          <w:tcPr>
            <w:tcW w:type="dxa" w:w="912"/>
            <w:shd w:val="clear" w:color="auto" w:fill="FFC7CE"/>
          </w:tcPr>
          <w:p>
            <w:pPr>
              <w:jc w:val="center"/>
            </w:pPr>
            <w:r/>
            <w:r>
              <w:rPr>
                <w:rFonts w:ascii="Times New Roman" w:hAnsi="Times New Roman"/>
                <w:b/>
                <w:i w:val="0"/>
                <w:sz w:val="18"/>
              </w:rPr>
              <w:t>0.6332</w:t>
            </w:r>
          </w:p>
        </w:tc>
        <w:tc>
          <w:tcPr>
            <w:tcW w:type="dxa" w:w="912"/>
            <w:shd w:val="clear" w:color="auto" w:fill="FFC7CE"/>
          </w:tcPr>
          <w:p>
            <w:pPr>
              <w:jc w:val="center"/>
            </w:pPr>
            <w:r/>
            <w:r>
              <w:rPr>
                <w:rFonts w:ascii="Times New Roman" w:hAnsi="Times New Roman"/>
                <w:b w:val="0"/>
                <w:i w:val="0"/>
                <w:sz w:val="18"/>
              </w:rPr>
              <w:t>Cukup</w:t>
            </w:r>
          </w:p>
        </w:tc>
      </w:tr>
      <w:tr>
        <w:tc>
          <w:tcPr>
            <w:tcW w:type="dxa" w:w="912"/>
          </w:tcPr>
          <w:p>
            <w:pPr>
              <w:jc w:val="center"/>
            </w:pPr>
            <w:r/>
            <w:r>
              <w:rPr>
                <w:rFonts w:ascii="Times New Roman" w:hAnsi="Times New Roman"/>
                <w:b/>
                <w:i w:val="0"/>
                <w:sz w:val="18"/>
              </w:rPr>
              <w:t>4a</w:t>
            </w:r>
          </w:p>
        </w:tc>
        <w:tc>
          <w:tcPr>
            <w:tcW w:type="dxa" w:w="912"/>
          </w:tcPr>
          <w:p>
            <w:pPr>
              <w:jc w:val="left"/>
            </w:pPr>
            <w:r/>
            <w:r>
              <w:rPr>
                <w:rFonts w:ascii="Times New Roman" w:hAnsi="Times New Roman"/>
                <w:b w:val="0"/>
                <w:i w:val="0"/>
                <w:sz w:val="18"/>
              </w:rPr>
              <w:t>Laki-laki: Pernah Cerai (Base)</w:t>
            </w:r>
          </w:p>
        </w:tc>
        <w:tc>
          <w:tcPr>
            <w:tcW w:type="dxa" w:w="912"/>
          </w:tcPr>
          <w:p>
            <w:pPr>
              <w:jc w:val="center"/>
            </w:pPr>
            <w:r/>
            <w:r>
              <w:rPr>
                <w:rFonts w:ascii="Times New Roman" w:hAnsi="Times New Roman"/>
                <w:b w:val="0"/>
                <w:i w:val="0"/>
                <w:sz w:val="18"/>
              </w:rPr>
              <w:t>7,651</w:t>
            </w:r>
          </w:p>
        </w:tc>
        <w:tc>
          <w:tcPr>
            <w:tcW w:type="dxa" w:w="912"/>
          </w:tcPr>
          <w:p>
            <w:pPr>
              <w:jc w:val="center"/>
            </w:pPr>
            <w:r/>
            <w:r>
              <w:rPr>
                <w:rFonts w:ascii="Times New Roman" w:hAnsi="Times New Roman"/>
                <w:b w:val="0"/>
                <w:i w:val="0"/>
                <w:sz w:val="18"/>
              </w:rPr>
              <w:t>152</w:t>
            </w:r>
          </w:p>
        </w:tc>
        <w:tc>
          <w:tcPr>
            <w:tcW w:type="dxa" w:w="912"/>
          </w:tcPr>
          <w:p>
            <w:pPr>
              <w:jc w:val="center"/>
            </w:pPr>
            <w:r/>
            <w:r>
              <w:rPr>
                <w:rFonts w:ascii="Times New Roman" w:hAnsi="Times New Roman"/>
                <w:b w:val="0"/>
                <w:i w:val="0"/>
                <w:sz w:val="18"/>
              </w:rPr>
              <w:t>-746.12</w:t>
            </w:r>
          </w:p>
        </w:tc>
        <w:tc>
          <w:tcPr>
            <w:tcW w:type="dxa" w:w="912"/>
          </w:tcPr>
          <w:p>
            <w:pPr>
              <w:jc w:val="center"/>
            </w:pPr>
            <w:r/>
            <w:r>
              <w:rPr>
                <w:rFonts w:ascii="Times New Roman" w:hAnsi="Times New Roman"/>
                <w:b w:val="0"/>
                <w:i w:val="0"/>
                <w:sz w:val="18"/>
              </w:rPr>
              <w:t>-720.96</w:t>
            </w:r>
          </w:p>
        </w:tc>
        <w:tc>
          <w:tcPr>
            <w:tcW w:type="dxa" w:w="912"/>
            <w:shd w:val="clear" w:color="auto" w:fill="FFC7CE"/>
          </w:tcPr>
          <w:p>
            <w:pPr>
              <w:jc w:val="center"/>
            </w:pPr>
            <w:r/>
            <w:r>
              <w:rPr>
                <w:rFonts w:ascii="Times New Roman" w:hAnsi="Times New Roman"/>
                <w:b/>
                <w:i w:val="0"/>
                <w:sz w:val="18"/>
              </w:rPr>
              <w:t>0.0337</w:t>
            </w:r>
          </w:p>
        </w:tc>
        <w:tc>
          <w:tcPr>
            <w:tcW w:type="dxa" w:w="912"/>
            <w:shd w:val="clear" w:color="auto" w:fill="FFC7CE"/>
          </w:tcPr>
          <w:p>
            <w:pPr>
              <w:jc w:val="center"/>
            </w:pPr>
            <w:r/>
            <w:r>
              <w:rPr>
                <w:rFonts w:ascii="Times New Roman" w:hAnsi="Times New Roman"/>
                <w:b w:val="0"/>
                <w:i w:val="0"/>
                <w:sz w:val="18"/>
              </w:rPr>
              <w:t>Lemah</w:t>
            </w:r>
          </w:p>
        </w:tc>
        <w:tc>
          <w:tcPr>
            <w:tcW w:type="dxa" w:w="912"/>
            <w:shd w:val="clear" w:color="auto" w:fill="FFC7CE"/>
          </w:tcPr>
          <w:p>
            <w:pPr>
              <w:jc w:val="center"/>
            </w:pPr>
            <w:r/>
            <w:r>
              <w:rPr>
                <w:rFonts w:ascii="Times New Roman" w:hAnsi="Times New Roman"/>
                <w:b/>
                <w:i w:val="0"/>
                <w:sz w:val="18"/>
              </w:rPr>
              <w:t>0.6623</w:t>
            </w:r>
          </w:p>
        </w:tc>
        <w:tc>
          <w:tcPr>
            <w:tcW w:type="dxa" w:w="912"/>
            <w:shd w:val="clear" w:color="auto" w:fill="FFC7CE"/>
          </w:tcPr>
          <w:p>
            <w:pPr>
              <w:jc w:val="center"/>
            </w:pPr>
            <w:r/>
            <w:r>
              <w:rPr>
                <w:rFonts w:ascii="Times New Roman" w:hAnsi="Times New Roman"/>
                <w:b w:val="0"/>
                <w:i w:val="0"/>
                <w:sz w:val="18"/>
              </w:rPr>
              <w:t>Cukup</w:t>
            </w:r>
          </w:p>
        </w:tc>
      </w:tr>
      <w:tr>
        <w:tc>
          <w:tcPr>
            <w:tcW w:type="dxa" w:w="912"/>
            <w:shd w:val="clear" w:color="auto" w:fill="F2F9FF"/>
          </w:tcPr>
          <w:p>
            <w:pPr>
              <w:jc w:val="center"/>
            </w:pPr>
            <w:r/>
            <w:r>
              <w:rPr>
                <w:rFonts w:ascii="Times New Roman" w:hAnsi="Times New Roman"/>
                <w:b/>
                <w:i w:val="0"/>
                <w:sz w:val="18"/>
              </w:rPr>
              <w:t>4b</w:t>
            </w:r>
          </w:p>
        </w:tc>
        <w:tc>
          <w:tcPr>
            <w:tcW w:type="dxa" w:w="912"/>
            <w:shd w:val="clear" w:color="auto" w:fill="F2F9FF"/>
          </w:tcPr>
          <w:p>
            <w:pPr>
              <w:jc w:val="left"/>
            </w:pPr>
            <w:r/>
            <w:r>
              <w:rPr>
                <w:rFonts w:ascii="Times New Roman" w:hAnsi="Times New Roman"/>
                <w:b w:val="0"/>
                <w:i w:val="0"/>
                <w:sz w:val="18"/>
              </w:rPr>
              <w:t>Laki-laki: Pernah Cerai (Extended)</w:t>
            </w:r>
          </w:p>
        </w:tc>
        <w:tc>
          <w:tcPr>
            <w:tcW w:type="dxa" w:w="912"/>
            <w:shd w:val="clear" w:color="auto" w:fill="F2F9FF"/>
          </w:tcPr>
          <w:p>
            <w:pPr>
              <w:jc w:val="center"/>
            </w:pPr>
            <w:r/>
            <w:r>
              <w:rPr>
                <w:rFonts w:ascii="Times New Roman" w:hAnsi="Times New Roman"/>
                <w:b w:val="0"/>
                <w:i w:val="0"/>
                <w:sz w:val="18"/>
              </w:rPr>
              <w:t>7,651</w:t>
            </w:r>
          </w:p>
        </w:tc>
        <w:tc>
          <w:tcPr>
            <w:tcW w:type="dxa" w:w="912"/>
            <w:shd w:val="clear" w:color="auto" w:fill="F2F9FF"/>
          </w:tcPr>
          <w:p>
            <w:pPr>
              <w:jc w:val="center"/>
            </w:pPr>
            <w:r/>
            <w:r>
              <w:rPr>
                <w:rFonts w:ascii="Times New Roman" w:hAnsi="Times New Roman"/>
                <w:b w:val="0"/>
                <w:i w:val="0"/>
                <w:sz w:val="18"/>
              </w:rPr>
              <w:t>152</w:t>
            </w:r>
          </w:p>
        </w:tc>
        <w:tc>
          <w:tcPr>
            <w:tcW w:type="dxa" w:w="912"/>
            <w:shd w:val="clear" w:color="auto" w:fill="F2F9FF"/>
          </w:tcPr>
          <w:p>
            <w:pPr>
              <w:jc w:val="center"/>
            </w:pPr>
            <w:r/>
            <w:r>
              <w:rPr>
                <w:rFonts w:ascii="Times New Roman" w:hAnsi="Times New Roman"/>
                <w:b w:val="0"/>
                <w:i w:val="0"/>
                <w:sz w:val="18"/>
              </w:rPr>
              <w:t>-746.12</w:t>
            </w:r>
          </w:p>
        </w:tc>
        <w:tc>
          <w:tcPr>
            <w:tcW w:type="dxa" w:w="912"/>
            <w:shd w:val="clear" w:color="auto" w:fill="F2F9FF"/>
          </w:tcPr>
          <w:p>
            <w:pPr>
              <w:jc w:val="center"/>
            </w:pPr>
            <w:r/>
            <w:r>
              <w:rPr>
                <w:rFonts w:ascii="Times New Roman" w:hAnsi="Times New Roman"/>
                <w:b w:val="0"/>
                <w:i w:val="0"/>
                <w:sz w:val="18"/>
              </w:rPr>
              <w:t>-720.94</w:t>
            </w:r>
          </w:p>
        </w:tc>
        <w:tc>
          <w:tcPr>
            <w:tcW w:type="dxa" w:w="912"/>
            <w:shd w:val="clear" w:color="auto" w:fill="FFC7CE"/>
          </w:tcPr>
          <w:p>
            <w:pPr>
              <w:jc w:val="center"/>
            </w:pPr>
            <w:r/>
            <w:r>
              <w:rPr>
                <w:rFonts w:ascii="Times New Roman" w:hAnsi="Times New Roman"/>
                <w:b/>
                <w:i w:val="0"/>
                <w:sz w:val="18"/>
              </w:rPr>
              <w:t>0.0338</w:t>
            </w:r>
          </w:p>
        </w:tc>
        <w:tc>
          <w:tcPr>
            <w:tcW w:type="dxa" w:w="912"/>
            <w:shd w:val="clear" w:color="auto" w:fill="FFC7CE"/>
          </w:tcPr>
          <w:p>
            <w:pPr>
              <w:jc w:val="center"/>
            </w:pPr>
            <w:r/>
            <w:r>
              <w:rPr>
                <w:rFonts w:ascii="Times New Roman" w:hAnsi="Times New Roman"/>
                <w:b w:val="0"/>
                <w:i w:val="0"/>
                <w:sz w:val="18"/>
              </w:rPr>
              <w:t>Lemah</w:t>
            </w:r>
          </w:p>
        </w:tc>
        <w:tc>
          <w:tcPr>
            <w:tcW w:type="dxa" w:w="912"/>
            <w:shd w:val="clear" w:color="auto" w:fill="FFC7CE"/>
          </w:tcPr>
          <w:p>
            <w:pPr>
              <w:jc w:val="center"/>
            </w:pPr>
            <w:r/>
            <w:r>
              <w:rPr>
                <w:rFonts w:ascii="Times New Roman" w:hAnsi="Times New Roman"/>
                <w:b/>
                <w:i w:val="0"/>
                <w:sz w:val="18"/>
              </w:rPr>
              <w:t>0.6625</w:t>
            </w:r>
          </w:p>
        </w:tc>
        <w:tc>
          <w:tcPr>
            <w:tcW w:type="dxa" w:w="912"/>
            <w:shd w:val="clear" w:color="auto" w:fill="FFC7CE"/>
          </w:tcPr>
          <w:p>
            <w:pPr>
              <w:jc w:val="center"/>
            </w:pPr>
            <w:r/>
            <w:r>
              <w:rPr>
                <w:rFonts w:ascii="Times New Roman" w:hAnsi="Times New Roman"/>
                <w:b w:val="0"/>
                <w:i w:val="0"/>
                <w:sz w:val="18"/>
              </w:rPr>
              <w:t>Cukup</w:t>
            </w:r>
          </w:p>
        </w:tc>
      </w:tr>
    </w:tbl>
    <w:p>
      <w:pPr>
        <w:spacing w:after="120"/>
      </w:pPr>
      <w:r>
        <w:rPr>
          <w:rFonts w:ascii="Times New Roman" w:hAnsi="Times New Roman"/>
          <w:b w:val="0"/>
          <w:i/>
          <w:sz w:val="20"/>
        </w:rPr>
        <w:t>Keterangan: N Event = jumlah observasi dengan outcome Y=1. Warna hijau = Baik/Sangat Baik, Kuning = Cukup, Merah = Lemah.</w:t>
      </w:r>
    </w:p>
    <w:p>
      <w:pPr>
        <w:pStyle w:val="Heading3"/>
      </w:pPr>
      <w:r>
        <w:rPr>
          <w:rFonts w:ascii="Times New Roman" w:hAnsi="Times New Roman"/>
          <w:b/>
          <w:sz w:val="22"/>
        </w:rPr>
        <w:t>5.2 ROC Curve — 8 Model</w:t>
      </w:r>
    </w:p>
    <w:p>
      <w:pPr>
        <w:jc w:val="center"/>
      </w:pPr>
      <w:r>
        <w:drawing>
          <wp:inline xmlns:a="http://schemas.openxmlformats.org/drawingml/2006/main" xmlns:pic="http://schemas.openxmlformats.org/drawingml/2006/picture">
            <wp:extent cx="5760000" cy="2854002"/>
            <wp:docPr id="1" name="Picture 1"/>
            <wp:cNvGraphicFramePr>
              <a:graphicFrameLocks noChangeAspect="1"/>
            </wp:cNvGraphicFramePr>
            <a:graphic>
              <a:graphicData uri="http://schemas.openxmlformats.org/drawingml/2006/picture">
                <pic:pic>
                  <pic:nvPicPr>
                    <pic:cNvPr id="0" name="roc_curves.png"/>
                    <pic:cNvPicPr/>
                  </pic:nvPicPr>
                  <pic:blipFill>
                    <a:blip r:embed="rId9"/>
                    <a:stretch>
                      <a:fillRect/>
                    </a:stretch>
                  </pic:blipFill>
                  <pic:spPr>
                    <a:xfrm>
                      <a:off x="0" y="0"/>
                      <a:ext cx="5760000" cy="2854002"/>
                    </a:xfrm>
                    <a:prstGeom prst="rect"/>
                  </pic:spPr>
                </pic:pic>
              </a:graphicData>
            </a:graphic>
          </wp:inline>
        </w:drawing>
      </w:r>
    </w:p>
    <w:p>
      <w:pPr>
        <w:spacing w:after="120"/>
      </w:pPr>
      <w:r>
        <w:rPr>
          <w:rFonts w:ascii="Times New Roman" w:hAnsi="Times New Roman"/>
          <w:b w:val="0"/>
          <w:i/>
          <w:sz w:val="20"/>
        </w:rPr>
        <w:t>Gambar: ROC Curve delapan model regresi logistik berbobot. Biru = model Pernah Menikah (AUC ~0.89–0.91); Merah = model Pernah Cerai (AUC ~0.63–0.66).</w:t>
      </w:r>
    </w:p>
    <w:p>
      <w:pPr>
        <w:pStyle w:val="Heading2"/>
      </w:pPr>
      <w:r>
        <w:rPr>
          <w:rFonts w:ascii="Times New Roman" w:hAnsi="Times New Roman"/>
          <w:b/>
          <w:sz w:val="24"/>
        </w:rPr>
        <w:t>6. Interpretasi dan Diskusi</w:t>
      </w:r>
    </w:p>
    <w:p>
      <w:pPr>
        <w:pStyle w:val="Heading3"/>
      </w:pPr>
      <w:r>
        <w:rPr>
          <w:rFonts w:ascii="Times New Roman" w:hAnsi="Times New Roman"/>
          <w:b/>
          <w:sz w:val="22"/>
        </w:rPr>
        <w:t>6.1 Model Pernah Menikah (Model 1a, 1b, 2a, 2b)</w:t>
      </w:r>
    </w:p>
    <w:p>
      <w:pPr>
        <w:spacing w:after="120"/>
      </w:pPr>
      <w:r>
        <w:rPr>
          <w:rFonts w:ascii="Times New Roman" w:hAnsi="Times New Roman"/>
          <w:b w:val="0"/>
          <w:i w:val="0"/>
          <w:sz w:val="24"/>
        </w:rPr>
        <w:t>Model Pernah Menikah menunjukkan goodness of fit yang sangat baik:</w:t>
      </w:r>
    </w:p>
    <w:p>
      <w:pPr>
        <w:pStyle w:val="ListBullet"/>
      </w:pPr>
      <w:r>
        <w:rPr>
          <w:rFonts w:ascii="Times New Roman" w:hAnsi="Times New Roman"/>
          <w:sz w:val="24"/>
        </w:rPr>
        <w:t>McFadden R² berkisar 0.39–0.43, termasuk kategori Sangat Baik (&gt;0.40 menurut McFadden, 1974).</w:t>
      </w:r>
    </w:p>
    <w:p>
      <w:pPr>
        <w:pStyle w:val="ListBullet"/>
      </w:pPr>
      <w:r>
        <w:rPr>
          <w:rFonts w:ascii="Times New Roman" w:hAnsi="Times New Roman"/>
          <w:sz w:val="24"/>
        </w:rPr>
        <w:t>AUC berkisar 0.89–0.91, menunjukkan kemampuan diskriminasi yang Sangat Baik (AUC &gt; 0.80 menurut Hosmer et al., 2013).</w:t>
      </w:r>
    </w:p>
    <w:p>
      <w:pPr>
        <w:pStyle w:val="ListBullet"/>
      </w:pPr>
      <w:r>
        <w:rPr>
          <w:rFonts w:ascii="Times New Roman" w:hAnsi="Times New Roman"/>
          <w:sz w:val="24"/>
        </w:rPr>
        <w:t>Model mampu membedakan individu yang pernah menikah dan belum menikah dengan sangat baik menggunakan variabel sosiodemografis yang tersedia.</w:t>
      </w:r>
    </w:p>
    <w:p>
      <w:pPr>
        <w:pStyle w:val="ListBullet"/>
      </w:pPr>
      <w:r>
        <w:rPr>
          <w:rFonts w:ascii="Times New Roman" w:hAnsi="Times New Roman"/>
          <w:sz w:val="24"/>
        </w:rPr>
        <w:t>Penambahan variabel urban (model Extended vs Base) meningkatkan fit secara marginal (R² naik ~0.004–0.005, AUC naik ~0.001–0.002), menunjukkan kontribusi urban relatif kecil.</w:t>
      </w:r>
    </w:p>
    <w:p>
      <w:pPr>
        <w:pStyle w:val="Heading3"/>
      </w:pPr>
      <w:r>
        <w:rPr>
          <w:rFonts w:ascii="Times New Roman" w:hAnsi="Times New Roman"/>
          <w:b/>
          <w:sz w:val="22"/>
        </w:rPr>
        <w:t>6.2 Model Pernah Cerai (Model 3a, 3b, 4a, 4b)</w:t>
      </w:r>
    </w:p>
    <w:p>
      <w:pPr>
        <w:spacing w:after="120"/>
      </w:pPr>
      <w:r>
        <w:rPr>
          <w:rFonts w:ascii="Times New Roman" w:hAnsi="Times New Roman"/>
          <w:b w:val="0"/>
          <w:i w:val="0"/>
          <w:sz w:val="24"/>
        </w:rPr>
        <w:t>Model Pernah Cerai menunjukkan goodness of fit yang lebih rendah:</w:t>
      </w:r>
    </w:p>
    <w:p>
      <w:pPr>
        <w:pStyle w:val="ListBullet"/>
      </w:pPr>
      <w:r>
        <w:rPr>
          <w:rFonts w:ascii="Times New Roman" w:hAnsi="Times New Roman"/>
          <w:sz w:val="24"/>
        </w:rPr>
        <w:t>McFadden R² berkisar 0.027–0.034, termasuk kategori Lemah (&lt;0.10).</w:t>
      </w:r>
    </w:p>
    <w:p>
      <w:pPr>
        <w:pStyle w:val="ListBullet"/>
      </w:pPr>
      <w:r>
        <w:rPr>
          <w:rFonts w:ascii="Times New Roman" w:hAnsi="Times New Roman"/>
          <w:sz w:val="24"/>
        </w:rPr>
        <w:t>AUC berkisar 0.63–0.66, termasuk kategori Cukup (0.60–0.69).</w:t>
      </w:r>
    </w:p>
    <w:p>
      <w:pPr>
        <w:pStyle w:val="ListBullet"/>
      </w:pPr>
      <w:r>
        <w:rPr>
          <w:rFonts w:ascii="Times New Roman" w:hAnsi="Times New Roman"/>
          <w:sz w:val="24"/>
        </w:rPr>
        <w:t>Ini BUKAN kegagalan model, melainkan mencerminkan karakteristik perceraian sebagai outcome yang dipengaruhi banyak faktor tak terukur (kualitas pernikahan, kepribadian pasangan, dinamika rumah tangga, tekanan ekonomi mikro, dll.).</w:t>
      </w:r>
    </w:p>
    <w:p>
      <w:pPr>
        <w:pStyle w:val="ListBullet"/>
      </w:pPr>
      <w:r>
        <w:rPr>
          <w:rFonts w:ascii="Times New Roman" w:hAnsi="Times New Roman"/>
          <w:sz w:val="24"/>
        </w:rPr>
        <w:t>Variabel sosiodemografis yang tersedia di IFLS5 hanya menangkap sebagian kecil dari variasi perceraian — ini adalah keterbatasan data, bukan kelemahan metode.</w:t>
      </w:r>
    </w:p>
    <w:p>
      <w:pPr>
        <w:pStyle w:val="ListBullet"/>
      </w:pPr>
      <w:r>
        <w:rPr>
          <w:rFonts w:ascii="Times New Roman" w:hAnsi="Times New Roman"/>
          <w:sz w:val="24"/>
        </w:rPr>
        <w:t>Dalam literatur perceraian, AUC 0.60–0.70 sudah dianggap wajar mengingat kompleksitas faktor penentu perceraian (Breivik &amp; Olweus, 2006; Amato, 2010).</w:t>
      </w:r>
    </w:p>
    <w:p>
      <w:pPr>
        <w:pStyle w:val="Heading3"/>
      </w:pPr>
      <w:r>
        <w:rPr>
          <w:rFonts w:ascii="Times New Roman" w:hAnsi="Times New Roman"/>
          <w:b/>
          <w:sz w:val="22"/>
        </w:rPr>
        <w:t>6.3 Hubungan dengan Uji Hosmer-Lemeshow</w:t>
      </w:r>
    </w:p>
    <w:p>
      <w:pPr>
        <w:spacing w:after="120"/>
      </w:pPr>
      <w:r>
        <w:rPr>
          <w:rFonts w:ascii="Times New Roman" w:hAnsi="Times New Roman"/>
          <w:b w:val="0"/>
          <w:i w:val="0"/>
          <w:sz w:val="24"/>
        </w:rPr>
        <w:t>Uji Hosmer-Lemeshow (Lampiran D) menunjukkan bahwa model Pernah Menikah "Kurang Fit" (p &lt; 0.05), sedangkan model Pernah Cerai Base "Fit" (p &gt; 0.05). Kombinasi dengan Pseudo R² dan AUC memberikan gambaran yang lebih lengkap:</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F497D"/>
          </w:tcPr>
          <w:p>
            <w:pPr>
              <w:jc w:val="center"/>
            </w:pPr>
            <w:r/>
            <w:r>
              <w:rPr>
                <w:rFonts w:ascii="Times New Roman" w:hAnsi="Times New Roman"/>
                <w:b/>
                <w:i w:val="0"/>
                <w:color w:val="FFFFFF"/>
                <w:sz w:val="20"/>
              </w:rPr>
              <w:t>Kelompok Model</w:t>
            </w:r>
          </w:p>
        </w:tc>
        <w:tc>
          <w:tcPr>
            <w:tcW w:type="dxa" w:w="2280"/>
            <w:shd w:val="clear" w:color="auto" w:fill="1F497D"/>
          </w:tcPr>
          <w:p>
            <w:pPr>
              <w:jc w:val="center"/>
            </w:pPr>
            <w:r/>
            <w:r>
              <w:rPr>
                <w:rFonts w:ascii="Times New Roman" w:hAnsi="Times New Roman"/>
                <w:b/>
                <w:i w:val="0"/>
                <w:color w:val="FFFFFF"/>
                <w:sz w:val="20"/>
              </w:rPr>
              <w:t>HL Test</w:t>
            </w:r>
          </w:p>
        </w:tc>
        <w:tc>
          <w:tcPr>
            <w:tcW w:type="dxa" w:w="2280"/>
            <w:shd w:val="clear" w:color="auto" w:fill="1F497D"/>
          </w:tcPr>
          <w:p>
            <w:pPr>
              <w:jc w:val="center"/>
            </w:pPr>
            <w:r/>
            <w:r>
              <w:rPr>
                <w:rFonts w:ascii="Times New Roman" w:hAnsi="Times New Roman"/>
                <w:b/>
                <w:i w:val="0"/>
                <w:color w:val="FFFFFF"/>
                <w:sz w:val="20"/>
              </w:rPr>
              <w:t>Pseudo R²</w:t>
            </w:r>
          </w:p>
        </w:tc>
        <w:tc>
          <w:tcPr>
            <w:tcW w:type="dxa" w:w="2280"/>
            <w:shd w:val="clear" w:color="auto" w:fill="1F497D"/>
          </w:tcPr>
          <w:p>
            <w:pPr>
              <w:jc w:val="center"/>
            </w:pPr>
            <w:r/>
            <w:r>
              <w:rPr>
                <w:rFonts w:ascii="Times New Roman" w:hAnsi="Times New Roman"/>
                <w:b/>
                <w:i w:val="0"/>
                <w:color w:val="FFFFFF"/>
                <w:sz w:val="20"/>
              </w:rPr>
              <w:t>AUC</w:t>
            </w:r>
          </w:p>
        </w:tc>
      </w:tr>
      <w:tr>
        <w:tc>
          <w:tcPr>
            <w:tcW w:type="dxa" w:w="2280"/>
          </w:tcPr>
          <w:p>
            <w:pPr>
              <w:jc w:val="left"/>
            </w:pPr>
            <w:r/>
            <w:r>
              <w:rPr>
                <w:rFonts w:ascii="Times New Roman" w:hAnsi="Times New Roman"/>
                <w:b w:val="0"/>
                <w:i w:val="0"/>
                <w:sz w:val="20"/>
              </w:rPr>
              <w:t>Pernah Menikah (Base)</w:t>
            </w:r>
          </w:p>
        </w:tc>
        <w:tc>
          <w:tcPr>
            <w:tcW w:type="dxa" w:w="2280"/>
          </w:tcPr>
          <w:p>
            <w:pPr>
              <w:jc w:val="left"/>
            </w:pPr>
            <w:r/>
            <w:r>
              <w:rPr>
                <w:rFonts w:ascii="Times New Roman" w:hAnsi="Times New Roman"/>
                <w:b w:val="0"/>
                <w:i w:val="0"/>
                <w:sz w:val="20"/>
              </w:rPr>
              <w:t>Kurang Fit* (N besar)</w:t>
            </w:r>
          </w:p>
        </w:tc>
        <w:tc>
          <w:tcPr>
            <w:tcW w:type="dxa" w:w="2280"/>
          </w:tcPr>
          <w:p>
            <w:pPr>
              <w:jc w:val="left"/>
            </w:pPr>
            <w:r/>
            <w:r>
              <w:rPr>
                <w:rFonts w:ascii="Times New Roman" w:hAnsi="Times New Roman"/>
                <w:b w:val="0"/>
                <w:i w:val="0"/>
                <w:sz w:val="20"/>
              </w:rPr>
              <w:t>0.39–0.42 (Sangat Baik)</w:t>
            </w:r>
          </w:p>
        </w:tc>
        <w:tc>
          <w:tcPr>
            <w:tcW w:type="dxa" w:w="2280"/>
          </w:tcPr>
          <w:p>
            <w:pPr>
              <w:jc w:val="left"/>
            </w:pPr>
            <w:r/>
            <w:r>
              <w:rPr>
                <w:rFonts w:ascii="Times New Roman" w:hAnsi="Times New Roman"/>
                <w:b w:val="0"/>
                <w:i w:val="0"/>
                <w:sz w:val="20"/>
              </w:rPr>
              <w:t>0.89–0.91 (Sangat Baik)</w:t>
            </w:r>
          </w:p>
        </w:tc>
      </w:tr>
      <w:tr>
        <w:tc>
          <w:tcPr>
            <w:tcW w:type="dxa" w:w="2280"/>
            <w:shd w:val="clear" w:color="auto" w:fill="F2F9FF"/>
          </w:tcPr>
          <w:p>
            <w:pPr>
              <w:jc w:val="left"/>
            </w:pPr>
            <w:r/>
            <w:r>
              <w:rPr>
                <w:rFonts w:ascii="Times New Roman" w:hAnsi="Times New Roman"/>
                <w:b w:val="0"/>
                <w:i w:val="0"/>
                <w:sz w:val="20"/>
              </w:rPr>
              <w:t>Pernah Menikah (Extended)</w:t>
            </w:r>
          </w:p>
        </w:tc>
        <w:tc>
          <w:tcPr>
            <w:tcW w:type="dxa" w:w="2280"/>
            <w:shd w:val="clear" w:color="auto" w:fill="F2F9FF"/>
          </w:tcPr>
          <w:p>
            <w:pPr>
              <w:jc w:val="left"/>
            </w:pPr>
            <w:r/>
            <w:r>
              <w:rPr>
                <w:rFonts w:ascii="Times New Roman" w:hAnsi="Times New Roman"/>
                <w:b w:val="0"/>
                <w:i w:val="0"/>
                <w:sz w:val="20"/>
              </w:rPr>
              <w:t>Kurang Fit* (N besar)</w:t>
            </w:r>
          </w:p>
        </w:tc>
        <w:tc>
          <w:tcPr>
            <w:tcW w:type="dxa" w:w="2280"/>
            <w:shd w:val="clear" w:color="auto" w:fill="F2F9FF"/>
          </w:tcPr>
          <w:p>
            <w:pPr>
              <w:jc w:val="left"/>
            </w:pPr>
            <w:r/>
            <w:r>
              <w:rPr>
                <w:rFonts w:ascii="Times New Roman" w:hAnsi="Times New Roman"/>
                <w:b w:val="0"/>
                <w:i w:val="0"/>
                <w:sz w:val="20"/>
              </w:rPr>
              <w:t>0.40–0.43 (Sangat Baik)</w:t>
            </w:r>
          </w:p>
        </w:tc>
        <w:tc>
          <w:tcPr>
            <w:tcW w:type="dxa" w:w="2280"/>
            <w:shd w:val="clear" w:color="auto" w:fill="F2F9FF"/>
          </w:tcPr>
          <w:p>
            <w:pPr>
              <w:jc w:val="left"/>
            </w:pPr>
            <w:r/>
            <w:r>
              <w:rPr>
                <w:rFonts w:ascii="Times New Roman" w:hAnsi="Times New Roman"/>
                <w:b w:val="0"/>
                <w:i w:val="0"/>
                <w:sz w:val="20"/>
              </w:rPr>
              <w:t>0.90–0.91 (Sangat Baik)</w:t>
            </w:r>
          </w:p>
        </w:tc>
      </w:tr>
      <w:tr>
        <w:tc>
          <w:tcPr>
            <w:tcW w:type="dxa" w:w="2280"/>
          </w:tcPr>
          <w:p>
            <w:pPr>
              <w:jc w:val="left"/>
            </w:pPr>
            <w:r/>
            <w:r>
              <w:rPr>
                <w:rFonts w:ascii="Times New Roman" w:hAnsi="Times New Roman"/>
                <w:b w:val="0"/>
                <w:i w:val="0"/>
                <w:sz w:val="20"/>
              </w:rPr>
              <w:t>Pernah Cerai (Base)</w:t>
            </w:r>
          </w:p>
        </w:tc>
        <w:tc>
          <w:tcPr>
            <w:tcW w:type="dxa" w:w="2280"/>
          </w:tcPr>
          <w:p>
            <w:pPr>
              <w:jc w:val="left"/>
            </w:pPr>
            <w:r/>
            <w:r>
              <w:rPr>
                <w:rFonts w:ascii="Times New Roman" w:hAnsi="Times New Roman"/>
                <w:b w:val="0"/>
                <w:i w:val="0"/>
                <w:sz w:val="20"/>
              </w:rPr>
              <w:t>Fit (p&gt;0.05)</w:t>
            </w:r>
          </w:p>
        </w:tc>
        <w:tc>
          <w:tcPr>
            <w:tcW w:type="dxa" w:w="2280"/>
          </w:tcPr>
          <w:p>
            <w:pPr>
              <w:jc w:val="left"/>
            </w:pPr>
            <w:r/>
            <w:r>
              <w:rPr>
                <w:rFonts w:ascii="Times New Roman" w:hAnsi="Times New Roman"/>
                <w:b w:val="0"/>
                <w:i w:val="0"/>
                <w:sz w:val="20"/>
              </w:rPr>
              <w:t>0.027–0.034 (Lemah)</w:t>
            </w:r>
          </w:p>
        </w:tc>
        <w:tc>
          <w:tcPr>
            <w:tcW w:type="dxa" w:w="2280"/>
          </w:tcPr>
          <w:p>
            <w:pPr>
              <w:jc w:val="left"/>
            </w:pPr>
            <w:r/>
            <w:r>
              <w:rPr>
                <w:rFonts w:ascii="Times New Roman" w:hAnsi="Times New Roman"/>
                <w:b w:val="0"/>
                <w:i w:val="0"/>
                <w:sz w:val="20"/>
              </w:rPr>
              <w:t>0.63–0.66 (Cukup)</w:t>
            </w:r>
          </w:p>
        </w:tc>
      </w:tr>
      <w:tr>
        <w:tc>
          <w:tcPr>
            <w:tcW w:type="dxa" w:w="2280"/>
            <w:shd w:val="clear" w:color="auto" w:fill="F2F9FF"/>
          </w:tcPr>
          <w:p>
            <w:pPr>
              <w:jc w:val="left"/>
            </w:pPr>
            <w:r/>
            <w:r>
              <w:rPr>
                <w:rFonts w:ascii="Times New Roman" w:hAnsi="Times New Roman"/>
                <w:b w:val="0"/>
                <w:i w:val="0"/>
                <w:sz w:val="20"/>
              </w:rPr>
              <w:t>Pernah Cerai (Extended)</w:t>
            </w:r>
          </w:p>
        </w:tc>
        <w:tc>
          <w:tcPr>
            <w:tcW w:type="dxa" w:w="2280"/>
            <w:shd w:val="clear" w:color="auto" w:fill="F2F9FF"/>
          </w:tcPr>
          <w:p>
            <w:pPr>
              <w:jc w:val="left"/>
            </w:pPr>
            <w:r/>
            <w:r>
              <w:rPr>
                <w:rFonts w:ascii="Times New Roman" w:hAnsi="Times New Roman"/>
                <w:b w:val="0"/>
                <w:i w:val="0"/>
                <w:sz w:val="20"/>
              </w:rPr>
              <w:t>Kurang Fit (p&lt;0.05)</w:t>
            </w:r>
          </w:p>
        </w:tc>
        <w:tc>
          <w:tcPr>
            <w:tcW w:type="dxa" w:w="2280"/>
            <w:shd w:val="clear" w:color="auto" w:fill="F2F9FF"/>
          </w:tcPr>
          <w:p>
            <w:pPr>
              <w:jc w:val="left"/>
            </w:pPr>
            <w:r/>
            <w:r>
              <w:rPr>
                <w:rFonts w:ascii="Times New Roman" w:hAnsi="Times New Roman"/>
                <w:b w:val="0"/>
                <w:i w:val="0"/>
                <w:sz w:val="20"/>
              </w:rPr>
              <w:t>0.027–0.034 (Lemah)</w:t>
            </w:r>
          </w:p>
        </w:tc>
        <w:tc>
          <w:tcPr>
            <w:tcW w:type="dxa" w:w="2280"/>
            <w:shd w:val="clear" w:color="auto" w:fill="F2F9FF"/>
          </w:tcPr>
          <w:p>
            <w:pPr>
              <w:jc w:val="left"/>
            </w:pPr>
            <w:r/>
            <w:r>
              <w:rPr>
                <w:rFonts w:ascii="Times New Roman" w:hAnsi="Times New Roman"/>
                <w:b w:val="0"/>
                <w:i w:val="0"/>
                <w:sz w:val="20"/>
              </w:rPr>
              <w:t>0.63–0.66 (Cukup)</w:t>
            </w:r>
          </w:p>
        </w:tc>
      </w:tr>
    </w:tbl>
    <w:p>
      <w:pPr>
        <w:spacing w:after="120"/>
      </w:pPr>
      <w:r>
        <w:rPr>
          <w:rFonts w:ascii="Times New Roman" w:hAnsi="Times New Roman"/>
          <w:b w:val="0"/>
          <w:i/>
          <w:sz w:val="20"/>
        </w:rPr>
        <w:t>* HL Kurang Fit pada model Pernah Menikah disebabkan sensitivitas HL terhadap sampel besar (N=4.332–7.651), bukan karena model buruk. Pseudo R² dan AUC mengkonfirmasi bahwa model sebenarnya memiliki fit yang sangat baik.</w:t>
      </w:r>
    </w:p>
    <w:p>
      <w:pPr>
        <w:pStyle w:val="Heading2"/>
      </w:pPr>
      <w:r>
        <w:rPr>
          <w:rFonts w:ascii="Times New Roman" w:hAnsi="Times New Roman"/>
          <w:b/>
          <w:sz w:val="24"/>
        </w:rPr>
        <w:t>7. Teks Siap Pakai untuk Penulisan Tesis</w:t>
      </w:r>
    </w:p>
    <w:p>
      <w:pPr>
        <w:pStyle w:val="Heading3"/>
      </w:pPr>
      <w:r>
        <w:rPr>
          <w:rFonts w:ascii="Times New Roman" w:hAnsi="Times New Roman"/>
          <w:b/>
          <w:sz w:val="22"/>
        </w:rPr>
        <w:t>7.1 Untuk Bab III (Metodologi)</w:t>
      </w:r>
    </w:p>
    <w:p>
      <w:pPr>
        <w:spacing w:after="120"/>
      </w:pPr>
      <w:r>
        <w:rPr>
          <w:rFonts w:ascii="Times New Roman" w:hAnsi="Times New Roman"/>
          <w:b w:val="0"/>
          <w:i w:val="0"/>
          <w:sz w:val="24"/>
        </w:rPr>
        <w:t>"Goodness of fit model regresi logistik dievaluasi menggunakan tiga ukuran yang saling melengkapi: (1) uji Hosmer-Lemeshow untuk menilai kalibrasi model, (2) McFadden Pseudo R² untuk mengukur peningkatan log-likelihood model penuh dibandingkan model null, dan (3) Area Under the ROC Curve (AUC) untuk mengukur kemampuan diskriminasi model. Penggunaan Pseudo R² dan AUC sebagai pelengkap diperlukan karena uji Hosmer-Lemeshow sensitif terhadap sampel besar (Hosmer, Lemeshow &amp; Sturdivant, 2013)."</w:t>
      </w:r>
    </w:p>
    <w:p>
      <w:pPr>
        <w:pStyle w:val="Heading3"/>
      </w:pPr>
      <w:r>
        <w:rPr>
          <w:rFonts w:ascii="Times New Roman" w:hAnsi="Times New Roman"/>
          <w:b/>
          <w:sz w:val="22"/>
        </w:rPr>
        <w:t>7.2 Untuk Bab IV (Hasil — Model Pernah Menikah)</w:t>
      </w:r>
    </w:p>
    <w:p>
      <w:pPr>
        <w:spacing w:after="120"/>
      </w:pPr>
      <w:r>
        <w:rPr>
          <w:rFonts w:ascii="Times New Roman" w:hAnsi="Times New Roman"/>
          <w:b w:val="0"/>
          <w:i w:val="0"/>
          <w:sz w:val="24"/>
        </w:rPr>
        <w:t>"Model regresi logistik untuk outcome Pernah Menikah menunjukkan goodness of fit yang sangat baik. McFadden Pseudo R² berkisar antara 0.39 hingga 0.43, termasuk kategori sangat baik berdasarkan panduan McFadden (1974). AUC berkisar antara 0.89 hingga 0.91, menunjukkan kemampuan diskriminasi yang sangat kuat (Hosmer et al., 2013). Meskipun uji Hosmer-Lemeshow menunjukkan p &lt; 0.05, hal ini merupakan konsekuensi yang diharapkan pada sampel besar (N &gt; 4.000) dan tidak mengindikasikan kegagalan model."</w:t>
      </w:r>
    </w:p>
    <w:p>
      <w:pPr>
        <w:pStyle w:val="Heading3"/>
      </w:pPr>
      <w:r>
        <w:rPr>
          <w:rFonts w:ascii="Times New Roman" w:hAnsi="Times New Roman"/>
          <w:b/>
          <w:sz w:val="22"/>
        </w:rPr>
        <w:t>7.3 Untuk Bab IV (Hasil — Model Pernah Cerai)</w:t>
      </w:r>
    </w:p>
    <w:p>
      <w:pPr>
        <w:spacing w:after="120"/>
      </w:pPr>
      <w:r>
        <w:rPr>
          <w:rFonts w:ascii="Times New Roman" w:hAnsi="Times New Roman"/>
          <w:b w:val="0"/>
          <w:i w:val="0"/>
          <w:sz w:val="24"/>
        </w:rPr>
        <w:t>"Model regresi logistik untuk outcome Pernah Cerai menunjukkan goodness of fit yang lebih terbatas. McFadden Pseudo R² berkisar antara 0.027 hingga 0.034, dan AUC berkisar antara 0.63 hingga 0.66. Nilai ini mencerminkan keterbatasan data IFLS5 dalam menangkap seluruh determinan perceraian — faktor-faktor seperti kualitas pernikahan, dinamika interpersonal pasangan, dan tekanan situasional tidak tersedia dalam data survei rumah tangga. Hasil ini konsisten dengan penelitian perceraian berbasis data survei di negara berkembang lainnya (Amato, 2010)."</w:t>
      </w:r>
    </w:p>
    <w:p>
      <w:pPr>
        <w:pStyle w:val="Heading3"/>
      </w:pPr>
      <w:r>
        <w:rPr>
          <w:rFonts w:ascii="Times New Roman" w:hAnsi="Times New Roman"/>
          <w:b/>
          <w:sz w:val="22"/>
        </w:rPr>
        <w:t>7.4 Untuk Bagian Keterbatasan (Limitasi)</w:t>
      </w:r>
    </w:p>
    <w:p>
      <w:pPr>
        <w:spacing w:after="120"/>
      </w:pPr>
      <w:r>
        <w:rPr>
          <w:rFonts w:ascii="Times New Roman" w:hAnsi="Times New Roman"/>
          <w:b w:val="0"/>
          <w:i w:val="0"/>
          <w:sz w:val="24"/>
        </w:rPr>
        <w:t>"Penelitian ini memiliki beberapa keterbatasan metodologis. Pertama, kemampuan prediktif model untuk outcome Pernah Cerai terbatas (AUC = 0.63–0.66), mencerminkan bahwa variabel sosiodemografis yang tersedia di IFLS5 belum sepenuhnya menangkap kompleksitas faktor penentu perceraian. Kedua, uji Hosmer-Lemeshow menunjukkan hasil Kurang Fit pada model Pernah Menikah; namun hal ini merupakan artefak dari besarnya ukuran sampel, bukan indikasi kegagalan model, sebagaimana dikonfirmasi oleh nilai McFadden R² dan AUC yang sangat baik."</w:t>
      </w:r>
    </w:p>
    <w:p>
      <w:pPr>
        <w:pStyle w:val="Heading2"/>
      </w:pPr>
      <w:r>
        <w:rPr>
          <w:rFonts w:ascii="Times New Roman" w:hAnsi="Times New Roman"/>
          <w:b/>
          <w:sz w:val="24"/>
        </w:rPr>
        <w:t>8. Referensi</w:t>
      </w:r>
    </w:p>
    <w:p>
      <w:pPr>
        <w:pStyle w:val="ListNumber"/>
      </w:pPr>
      <w:r>
        <w:rPr>
          <w:rFonts w:ascii="Times New Roman" w:hAnsi="Times New Roman"/>
          <w:sz w:val="22"/>
        </w:rPr>
        <w:t>Amato, P.R. (2010). Research on divorce: Continuing trends and new developments. Journal of Marriage and Family, 72(3), 650–666.</w:t>
      </w:r>
    </w:p>
    <w:p>
      <w:pPr>
        <w:pStyle w:val="ListNumber"/>
      </w:pPr>
      <w:r>
        <w:rPr>
          <w:rFonts w:ascii="Times New Roman" w:hAnsi="Times New Roman"/>
          <w:sz w:val="22"/>
        </w:rPr>
        <w:t>Hosmer, D.W., Lemeshow, S., &amp; Sturdivant, R.X. (2013). Applied Logistic Regression (3rd ed.). John Wiley &amp; Sons.</w:t>
      </w:r>
    </w:p>
    <w:p>
      <w:pPr>
        <w:pStyle w:val="ListNumber"/>
      </w:pPr>
      <w:r>
        <w:rPr>
          <w:rFonts w:ascii="Times New Roman" w:hAnsi="Times New Roman"/>
          <w:sz w:val="22"/>
        </w:rPr>
        <w:t>Louviere, J.J., Hensher, D.A., &amp; Swait, J.D. (2000). Stated Choice Methods: Analysis and Application. Cambridge University Press.</w:t>
      </w:r>
    </w:p>
    <w:p>
      <w:pPr>
        <w:pStyle w:val="ListNumber"/>
      </w:pPr>
      <w:r>
        <w:rPr>
          <w:rFonts w:ascii="Times New Roman" w:hAnsi="Times New Roman"/>
          <w:sz w:val="22"/>
        </w:rPr>
        <w:t>McFadden, D. (1974). Conditional logit analysis of qualitative choice behavior. In P. Zarembka (Ed.), Frontiers in Econometrics (pp. 105–142). Academic Press.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