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891B2"/>
          <w:sz w:val="26"/>
        </w:rPr>
        <w:t>KIU - Faculty of Computer Science &amp; Computer Engineering</w:t>
        <w:br/>
        <w:t>Department of Computer Science</w:t>
        <w:br/>
        <w:t>BSc (Hons) in Computer Networks &amp; Cyber Security</w:t>
        <w:br/>
      </w:r>
    </w:p>
    <w:p>
      <w:pPr>
        <w:jc w:val="center"/>
      </w:pPr>
      <w:r>
        <w:rPr>
          <w:rFonts w:ascii="Calibri" w:hAnsi="Calibri"/>
          <w:b/>
          <w:color w:val="0F172A"/>
          <w:sz w:val="44"/>
        </w:rPr>
        <w:t>PROJECT DIARY / LOGBOOK</w:t>
        <w:br/>
      </w:r>
      <w:r>
        <w:rPr>
          <w:rFonts w:ascii="Calibri" w:hAnsi="Calibri"/>
          <w:i/>
          <w:color w:val="475569"/>
          <w:sz w:val="22"/>
        </w:rPr>
        <w:t>COM4901 – Final Year Individual Project</w:t>
        <w:br/>
        <w:t>Reducing Security Risks with Privileged Access Management: Real-Time Authentication and User Behavior Analysis using ML</w:t>
        <w:br/>
      </w:r>
    </w:p>
    <w:tbl>
      <w:tblPr>
        <w:tblW w:type="auto" w:w="0"/>
        <w:jc w:val="center"/>
        <w:tblLook w:firstColumn="1" w:firstRow="1" w:lastColumn="0" w:lastRow="0" w:noHBand="0" w:noVBand="1" w:val="04A0"/>
      </w:tblPr>
      <w:tblGrid>
        <w:gridCol w:w="4680"/>
        <w:gridCol w:w="4680"/>
      </w:tblGrid>
      <w:tr>
        <w:tc>
          <w:tcPr>
            <w:tcW w:type="dxa" w:w="4680"/>
          </w:tcPr>
          <w:p>
            <w:r>
              <w:rPr>
                <w:b/>
                <w:sz w:val="20"/>
              </w:rPr>
              <w:t>Student Name:</w:t>
            </w:r>
          </w:p>
        </w:tc>
        <w:tc>
          <w:tcPr>
            <w:tcW w:type="dxa" w:w="4680"/>
          </w:tcPr>
          <w:p>
            <w:r>
              <w:rPr>
                <w:sz w:val="20"/>
              </w:rPr>
              <w:t>W.M.P.D. Wickramasinghe</w:t>
            </w:r>
          </w:p>
        </w:tc>
      </w:tr>
      <w:tr>
        <w:tc>
          <w:tcPr>
            <w:tcW w:type="dxa" w:w="4680"/>
          </w:tcPr>
          <w:p>
            <w:r>
              <w:rPr>
                <w:b/>
                <w:sz w:val="20"/>
              </w:rPr>
              <w:t>Student Index No:</w:t>
            </w:r>
          </w:p>
        </w:tc>
        <w:tc>
          <w:tcPr>
            <w:tcW w:type="dxa" w:w="4680"/>
          </w:tcPr>
          <w:p>
            <w:r>
              <w:rPr>
                <w:sz w:val="20"/>
              </w:rPr>
              <w:t>11312</w:t>
            </w:r>
          </w:p>
        </w:tc>
      </w:tr>
      <w:tr>
        <w:tc>
          <w:tcPr>
            <w:tcW w:type="dxa" w:w="4680"/>
          </w:tcPr>
          <w:p>
            <w:r>
              <w:rPr>
                <w:b/>
                <w:sz w:val="20"/>
              </w:rPr>
              <w:t>Batch:</w:t>
            </w:r>
          </w:p>
        </w:tc>
        <w:tc>
          <w:tcPr>
            <w:tcW w:type="dxa" w:w="4680"/>
          </w:tcPr>
          <w:p>
            <w:r>
              <w:rPr>
                <w:sz w:val="20"/>
              </w:rPr>
              <w:t>Batch 08</w:t>
            </w:r>
          </w:p>
        </w:tc>
      </w:tr>
      <w:tr>
        <w:tc>
          <w:tcPr>
            <w:tcW w:type="dxa" w:w="4680"/>
          </w:tcPr>
          <w:p>
            <w:r>
              <w:rPr>
                <w:b/>
                <w:sz w:val="20"/>
              </w:rPr>
              <w:t>Supervisor:</w:t>
            </w:r>
          </w:p>
        </w:tc>
        <w:tc>
          <w:tcPr>
            <w:tcW w:type="dxa" w:w="4680"/>
          </w:tcPr>
          <w:p>
            <w:r>
              <w:rPr>
                <w:sz w:val="20"/>
              </w:rPr>
              <w:t>Mr. Mevan Jayathilaka</w:t>
            </w:r>
          </w:p>
        </w:tc>
      </w:tr>
      <w:tr>
        <w:tc>
          <w:tcPr>
            <w:tcW w:type="dxa" w:w="4680"/>
          </w:tcPr>
          <w:p>
            <w:r>
              <w:rPr>
                <w:b/>
                <w:sz w:val="20"/>
              </w:rPr>
              <w:t>Project Start Date:</w:t>
            </w:r>
          </w:p>
        </w:tc>
        <w:tc>
          <w:tcPr>
            <w:tcW w:type="dxa" w:w="4680"/>
          </w:tcPr>
          <w:p>
            <w:r>
              <w:rPr>
                <w:sz w:val="20"/>
              </w:rPr>
              <w:t>December 15, 2025</w:t>
            </w:r>
          </w:p>
        </w:tc>
      </w:tr>
      <w:tr>
        <w:tc>
          <w:tcPr>
            <w:tcW w:type="dxa" w:w="4680"/>
          </w:tcPr>
          <w:p>
            <w:r>
              <w:rPr>
                <w:b/>
                <w:sz w:val="20"/>
              </w:rPr>
              <w:t>Submission Deadline:</w:t>
            </w:r>
          </w:p>
        </w:tc>
        <w:tc>
          <w:tcPr>
            <w:tcW w:type="dxa" w:w="4680"/>
          </w:tcPr>
          <w:p>
            <w:r>
              <w:rPr>
                <w:sz w:val="20"/>
              </w:rPr>
              <w:t>August 31, 2026</w:t>
            </w:r>
          </w:p>
        </w:tc>
      </w:tr>
      <w:tr>
        <w:tc>
          <w:tcPr>
            <w:tcW w:type="dxa" w:w="4680"/>
          </w:tcPr>
          <w:p>
            <w:r>
              <w:rPr>
                <w:b/>
                <w:sz w:val="20"/>
              </w:rPr>
              <w:t>Project Duration:</w:t>
            </w:r>
          </w:p>
        </w:tc>
        <w:tc>
          <w:tcPr>
            <w:tcW w:type="dxa" w:w="4680"/>
          </w:tcPr>
          <w:p>
            <w:r>
              <w:rPr>
                <w:sz w:val="20"/>
              </w:rPr>
              <w:t>37 Weeks (Dec 2025 - Aug 2026)</w:t>
            </w:r>
          </w:p>
        </w:tc>
      </w:tr>
    </w:tbl>
    <w:p/>
    <w:p>
      <w:r>
        <w:rPr>
          <w:rFonts w:ascii="Calibri" w:hAnsi="Calibri"/>
          <w:b/>
          <w:color w:val="0F172A"/>
          <w:sz w:val="28"/>
        </w:rPr>
        <w:t>1. Project Overview &amp; Scope</w:t>
      </w:r>
    </w:p>
    <w:p>
      <w:r>
        <w:rPr>
          <w:sz w:val="20"/>
        </w:rPr>
        <w:t>This project diary records the weekly progress, milestone achievements, technical challenges, supervisor consultations, and reflective evaluations undertaken during the design, development, and empirical testing of SecureSafe PAM from December 15, 2025 to August 31, 2026.</w:t>
      </w:r>
    </w:p>
    <w:p>
      <w:r>
        <w:rPr>
          <w:rFonts w:ascii="Calibri" w:hAnsi="Calibri"/>
          <w:b/>
          <w:color w:val="0F172A"/>
          <w:sz w:val="28"/>
        </w:rPr>
        <w:t>2. Project Phases &amp; Milestone Execution</w:t>
      </w:r>
    </w:p>
    <w:p>
      <w:r>
        <w:rPr>
          <w:rFonts w:ascii="Calibri" w:hAnsi="Calibri"/>
          <w:b/>
          <w:color w:val="0891B2"/>
          <w:sz w:val="23"/>
        </w:rPr>
        <w:t>Phase 1: Research &amp; Proposal Defense (15 Dec 2025 - 18 Jan 2026)</w:t>
      </w:r>
    </w:p>
    <w:p>
      <w:r>
        <w:rPr>
          <w:sz w:val="20"/>
        </w:rPr>
        <w:t>Topic formulation, empirical problem identification from the 2023 Lanka Government Cloud breach, comparative analysis of commercial PAMs (CyberArk, BeyondTrust), and successful faculty proposal defense.</w:t>
      </w:r>
    </w:p>
    <w:p>
      <w:r>
        <w:rPr>
          <w:rFonts w:ascii="Calibri" w:hAnsi="Calibri"/>
          <w:b/>
          <w:color w:val="0891B2"/>
          <w:sz w:val="23"/>
        </w:rPr>
        <w:t>Phase 2: Requirements Elicitation &amp; ML Modeling (19 Jan 2026 - 22 Mar 2026)</w:t>
      </w:r>
    </w:p>
    <w:p>
      <w:r>
        <w:rPr>
          <w:sz w:val="20"/>
        </w:rPr>
        <w:t>Quantitative survey of 115 security professionals in Sri Lanka, SRS formulation (FR1-FR6, NFR1-NFR5), synthetic dataset generation (1,555 events), and training of Isolation Forest + OneHotEncoder pipeline achieving 87.3% accuracy.</w:t>
      </w:r>
    </w:p>
    <w:p>
      <w:r>
        <w:rPr>
          <w:rFonts w:ascii="Calibri" w:hAnsi="Calibri"/>
          <w:b/>
          <w:color w:val="0891B2"/>
          <w:sz w:val="23"/>
        </w:rPr>
        <w:t>Phase 3: Implementation &amp; Component Integration (23 Mar 2026 - 31 May 2026)</w:t>
      </w:r>
    </w:p>
    <w:p>
      <w:r>
        <w:rPr>
          <w:sz w:val="20"/>
        </w:rPr>
        <w:t>Flask backend development, OAuth 2.0 flow, 21-permission RBAC engine, dynamic 3-strike revocation controller, automated SMTP user onboarding with temporary passwords, SPA dashboard with live streaming, and 9-sheet executive Excel generator.</w:t>
      </w:r>
    </w:p>
    <w:p>
      <w:r>
        <w:rPr>
          <w:rFonts w:ascii="Calibri" w:hAnsi="Calibri"/>
          <w:b/>
          <w:color w:val="0891B2"/>
          <w:sz w:val="23"/>
        </w:rPr>
        <w:t>Phase 4: Testing, Benchmarking &amp; Dissertation (01 Jun 2026 - 31 Aug 2026)</w:t>
      </w:r>
    </w:p>
    <w:p>
      <w:r>
        <w:rPr>
          <w:sz w:val="20"/>
        </w:rPr>
        <w:t>Automated testing across 14 test suites (168 assertions, 100% pass rate), performance latency benchmarks (11.8ms ML inference, 2.5s end-to-end), ROC curve analysis (0.985 AUC), full 83-page dissertation authoring, and final submission.</w:t>
      </w:r>
    </w:p>
    <w:p>
      <w:r>
        <w:rPr>
          <w:rFonts w:ascii="Calibri" w:hAnsi="Calibri"/>
          <w:b/>
          <w:color w:val="0F172A"/>
          <w:sz w:val="28"/>
        </w:rPr>
        <w:t>3. Detailed Bi-Weekly / Sprint Activity Logs</w:t>
      </w:r>
    </w:p>
    <w:p>
      <w:r>
        <w:rPr>
          <w:rFonts w:ascii="Calibri" w:hAnsi="Calibri"/>
          <w:b/>
          <w:color w:val="0891B2"/>
          <w:sz w:val="23"/>
        </w:rPr>
        <w:t>Sprint 1 (Weeks 1-2: 15 Dec - 28 Dec 2025): Topic Selection &amp; Background Research</w:t>
      </w:r>
    </w:p>
    <w:p>
      <w:r>
        <w:rPr>
          <w:sz w:val="20"/>
        </w:rPr>
        <w:t>Analyzed enterprise access control vulnerabilities and the Lanka Government Cloud breach. Met supervisor (19 Dec) to scope out unsupervised ML vs static PAM rules.</w:t>
      </w:r>
    </w:p>
    <w:p>
      <w:r>
        <w:rPr>
          <w:rFonts w:ascii="Calibri" w:hAnsi="Calibri"/>
          <w:b/>
          <w:color w:val="0891B2"/>
          <w:sz w:val="23"/>
        </w:rPr>
        <w:t>Sprint 2 (Weeks 3-4: 29 Dec 2025 - 11 Jan 2026): Literature Review &amp; Proposal Preparation</w:t>
      </w:r>
    </w:p>
    <w:p>
      <w:r>
        <w:rPr>
          <w:sz w:val="20"/>
        </w:rPr>
        <w:t>Reviewed CyberArk, BeyondTrust, Delinea, and academic UEBA papers. Formulated Table 1 comparative gap matrix, research questions RQ1-RQ5, and finalized proposal draft.</w:t>
      </w:r>
    </w:p>
    <w:p>
      <w:r>
        <w:rPr>
          <w:rFonts w:ascii="Calibri" w:hAnsi="Calibri"/>
          <w:b/>
          <w:color w:val="0891B2"/>
          <w:sz w:val="23"/>
        </w:rPr>
        <w:t>Sprint 3 (Week 5: 12 Jan - 18 Jan 2026): Proposal Presentation Defense</w:t>
      </w:r>
    </w:p>
    <w:p>
      <w:r>
        <w:rPr>
          <w:sz w:val="20"/>
        </w:rPr>
        <w:t>Defended research proposal before the academic review panel. Received formal approval to proceed with empirical industry survey.</w:t>
      </w:r>
    </w:p>
    <w:p>
      <w:r>
        <w:rPr>
          <w:rFonts w:ascii="Calibri" w:hAnsi="Calibri"/>
          <w:b/>
          <w:color w:val="0891B2"/>
          <w:sz w:val="23"/>
        </w:rPr>
        <w:t>Sprint 4 (Weeks 6-7: 19 Jan - 01 Feb 2026): Survey Instrument Design &amp; Pilot Testing</w:t>
      </w:r>
    </w:p>
    <w:p>
      <w:r>
        <w:rPr>
          <w:sz w:val="20"/>
        </w:rPr>
        <w:t>Designed 11-question structured survey on PAM perceptions, credential management, and automation concerns. Pilot-tested with 5 system administrators.</w:t>
      </w:r>
    </w:p>
    <w:p>
      <w:r>
        <w:rPr>
          <w:rFonts w:ascii="Calibri" w:hAnsi="Calibri"/>
          <w:b/>
          <w:color w:val="0891B2"/>
          <w:sz w:val="23"/>
        </w:rPr>
        <w:t>Sprint 5 (Weeks 8-10: 02 Feb - 22 Feb 2026): Survey Distribution &amp; Data Collection</w:t>
      </w:r>
    </w:p>
    <w:p>
      <w:r>
        <w:rPr>
          <w:sz w:val="20"/>
        </w:rPr>
        <w:t>Administered survey across Sri Lankan IT/cybersecurity sectors, securing N=115 verified responses (90%+ daily privileged administrators).</w:t>
      </w:r>
    </w:p>
    <w:p>
      <w:r>
        <w:rPr>
          <w:rFonts w:ascii="Calibri" w:hAnsi="Calibri"/>
          <w:b/>
          <w:color w:val="0891B2"/>
          <w:sz w:val="23"/>
        </w:rPr>
        <w:t>Sprint 6 (Weeks 11-12: 23 Feb - 08 Mar 2026): Survey Statistical Analysis &amp; SRS Document</w:t>
      </w:r>
    </w:p>
    <w:p>
      <w:r>
        <w:rPr>
          <w:sz w:val="20"/>
        </w:rPr>
        <w:t>Analyzed survey data (74.8% concerned, 53% demand anomaly detection, 49.6% cite false positives). Defined FR1-FR6 and NFR1-NFR5 with MoSCoW prioritization.</w:t>
      </w:r>
    </w:p>
    <w:p>
      <w:r>
        <w:rPr>
          <w:rFonts w:ascii="Calibri" w:hAnsi="Calibri"/>
          <w:b/>
          <w:color w:val="0891B2"/>
          <w:sz w:val="23"/>
        </w:rPr>
        <w:t>Sprint 7 (Weeks 13-14: 09 Mar - 22 Mar 2026): Synthetic Dataset &amp; Isolation Forest Training</w:t>
      </w:r>
    </w:p>
    <w:p>
      <w:r>
        <w:rPr>
          <w:sz w:val="20"/>
        </w:rPr>
        <w:t>Engineered synthetic log pipeline modeling MITRE ATT&amp;CK patterns across 4 features (1,555 benchmark samples). Trained Isolation Forest with OneHotEncoder (87.3% accuracy).</w:t>
      </w:r>
    </w:p>
    <w:p>
      <w:r>
        <w:rPr>
          <w:rFonts w:ascii="Calibri" w:hAnsi="Calibri"/>
          <w:b/>
          <w:color w:val="0891B2"/>
          <w:sz w:val="23"/>
        </w:rPr>
        <w:t>Sprint 8 (Weeks 15-17: 23 Mar - 12 Apr 2026): Authentication Module &amp; RBAC Engine</w:t>
      </w:r>
    </w:p>
    <w:p>
      <w:r>
        <w:rPr>
          <w:sz w:val="20"/>
        </w:rPr>
        <w:t>Implemented OAuth 2.0 Authorization Code flow, scrypt password hashing, session state tracking, and 21 granular permissions in roles.json.</w:t>
      </w:r>
    </w:p>
    <w:p>
      <w:r>
        <w:rPr>
          <w:rFonts w:ascii="Calibri" w:hAnsi="Calibri"/>
          <w:b/>
          <w:color w:val="0891B2"/>
          <w:sz w:val="23"/>
        </w:rPr>
        <w:t>Sprint 9 (Weeks 18-20: 13 Apr - 03 May 2026): Dynamic 3-Strike Controller &amp; Log Watcher</w:t>
      </w:r>
    </w:p>
    <w:p>
      <w:r>
        <w:rPr>
          <w:sz w:val="20"/>
        </w:rPr>
        <w:t>Constructed 3-strike escalation state machine, atomic append-only activity logger with os.fsync, and instant session revocation middleware.</w:t>
      </w:r>
    </w:p>
    <w:p>
      <w:r>
        <w:rPr>
          <w:rFonts w:ascii="Calibri" w:hAnsi="Calibri"/>
          <w:b/>
          <w:color w:val="0891B2"/>
          <w:sz w:val="23"/>
        </w:rPr>
        <w:t>Sprint 10 (Weeks 21-22: 04 May - 17 May 2026): User Onboarding &amp; SMTP Email Engine</w:t>
      </w:r>
    </w:p>
    <w:p>
      <w:r>
        <w:rPr>
          <w:sz w:val="20"/>
        </w:rPr>
        <w:t>Built user invitation panel with random password generation (Pam#...), live SMTP Gmail dispatch, plus-addressing support, and Smart Outbox logging.</w:t>
      </w:r>
    </w:p>
    <w:p>
      <w:r>
        <w:rPr>
          <w:rFonts w:ascii="Calibri" w:hAnsi="Calibri"/>
          <w:b/>
          <w:color w:val="0891B2"/>
          <w:sz w:val="23"/>
        </w:rPr>
        <w:t>Sprint 11 (Weeks 23-24: 18 May - 31 May 2026): SPA Dashboard, Threat Simulator &amp; Excel Report</w:t>
      </w:r>
    </w:p>
    <w:p>
      <w:r>
        <w:rPr>
          <w:sz w:val="20"/>
        </w:rPr>
        <w:t>Constructed responsive TailwindCSS dashboard, 6-scenario live threat simulator, and 9-sheet executive Excel workbook generator using OpenPyXL.</w:t>
      </w:r>
    </w:p>
    <w:p>
      <w:r>
        <w:rPr>
          <w:rFonts w:ascii="Calibri" w:hAnsi="Calibri"/>
          <w:b/>
          <w:color w:val="0891B2"/>
          <w:sz w:val="23"/>
        </w:rPr>
        <w:t>Sprint 12 (Weeks 25-27: 01 Jun - 21 Jun 2026): Automated Unit &amp; Integration Testing</w:t>
      </w:r>
    </w:p>
    <w:p>
      <w:r>
        <w:rPr>
          <w:sz w:val="20"/>
        </w:rPr>
        <w:t>Constructed 14 unittest suites (168 assertions) covering auth, risk calculation, 3-strike escalation, and metrics endpoints (100% pass rate).</w:t>
      </w:r>
    </w:p>
    <w:p>
      <w:r>
        <w:rPr>
          <w:rFonts w:ascii="Calibri" w:hAnsi="Calibri"/>
          <w:b/>
          <w:color w:val="0891B2"/>
          <w:sz w:val="23"/>
        </w:rPr>
        <w:t>Sprint 13 (Weeks 28-30: 22 Jun - 12 Jul 2026): Model Benchmarking &amp; Performance Analysis</w:t>
      </w:r>
    </w:p>
    <w:p>
      <w:r>
        <w:rPr>
          <w:sz w:val="20"/>
        </w:rPr>
        <w:t>Benchmarked 1,555 events: 87.3% accuracy, 96.4% normal specificity, 83.5% critical detection, 0.985 AUC, 11.8ms inference, 2.5s end-to-end pipeline.</w:t>
      </w:r>
    </w:p>
    <w:p>
      <w:r>
        <w:rPr>
          <w:rFonts w:ascii="Calibri" w:hAnsi="Calibri"/>
          <w:b/>
          <w:color w:val="0891B2"/>
          <w:sz w:val="23"/>
        </w:rPr>
        <w:t>Sprint 14 (Weeks 31-34: 13 Jul - 09 Aug 2026): Academic Dissertation Writing (Chapters 1-8)</w:t>
      </w:r>
    </w:p>
    <w:p>
      <w:r>
        <w:rPr>
          <w:sz w:val="20"/>
        </w:rPr>
        <w:t>Authored complete 83-page thesis report covering all 8 chapters, 41 figures, 13 tables, 32 references, and 2 appendices.</w:t>
      </w:r>
    </w:p>
    <w:p>
      <w:r>
        <w:rPr>
          <w:rFonts w:ascii="Calibri" w:hAnsi="Calibri"/>
          <w:b/>
          <w:color w:val="0891B2"/>
          <w:sz w:val="23"/>
        </w:rPr>
        <w:t>Sprint 15 (Weeks 35-37: 10 Aug - 31 Aug 2026): Final Submission Packaging &amp; Viva Preparation</w:t>
      </w:r>
    </w:p>
    <w:p>
      <w:r>
        <w:rPr>
          <w:sz w:val="20"/>
        </w:rPr>
        <w:t>Compiled source code deployment bundle, experiment logs package, 26-slide presentation deck, and finalized project logbook for upload.</w:t>
      </w:r>
    </w:p>
    <w:p>
      <w:r>
        <w:rPr>
          <w:rFonts w:ascii="Calibri" w:hAnsi="Calibri"/>
          <w:b/>
          <w:color w:val="0F172A"/>
          <w:sz w:val="28"/>
        </w:rPr>
        <w:t>4. Supervisor Consultation Log</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8"/>
              </w:rPr>
              <w:t>#</w:t>
            </w:r>
          </w:p>
        </w:tc>
        <w:tc>
          <w:tcPr>
            <w:tcW w:type="dxa" w:w="2340"/>
            <w:shd w:fill="0F172A"/>
          </w:tcPr>
          <w:p>
            <w:r>
              <w:rPr>
                <w:b/>
                <w:color w:val="FFFFFF"/>
                <w:sz w:val="18"/>
              </w:rPr>
              <w:t>Date</w:t>
            </w:r>
          </w:p>
        </w:tc>
        <w:tc>
          <w:tcPr>
            <w:tcW w:type="dxa" w:w="2340"/>
            <w:shd w:fill="0F172A"/>
          </w:tcPr>
          <w:p>
            <w:r>
              <w:rPr>
                <w:b/>
                <w:color w:val="FFFFFF"/>
                <w:sz w:val="18"/>
              </w:rPr>
              <w:t>Discussion &amp; Milestone Topic</w:t>
            </w:r>
          </w:p>
        </w:tc>
        <w:tc>
          <w:tcPr>
            <w:tcW w:type="dxa" w:w="2340"/>
            <w:shd w:fill="0F172A"/>
          </w:tcPr>
          <w:p>
            <w:r>
              <w:rPr>
                <w:b/>
                <w:color w:val="FFFFFF"/>
                <w:sz w:val="18"/>
              </w:rPr>
              <w:t>Outcome / Status</w:t>
            </w:r>
          </w:p>
        </w:tc>
      </w:tr>
      <w:tr>
        <w:tc>
          <w:tcPr>
            <w:tcW w:type="dxa" w:w="2340"/>
          </w:tcPr>
          <w:p>
            <w:r>
              <w:rPr>
                <w:sz w:val="18"/>
              </w:rPr>
              <w:t>1</w:t>
            </w:r>
          </w:p>
        </w:tc>
        <w:tc>
          <w:tcPr>
            <w:tcW w:type="dxa" w:w="2340"/>
          </w:tcPr>
          <w:p>
            <w:r>
              <w:rPr>
                <w:sz w:val="18"/>
              </w:rPr>
              <w:t>19 Dec 2025</w:t>
            </w:r>
          </w:p>
        </w:tc>
        <w:tc>
          <w:tcPr>
            <w:tcW w:type="dxa" w:w="2340"/>
          </w:tcPr>
          <w:p>
            <w:r>
              <w:rPr>
                <w:sz w:val="18"/>
              </w:rPr>
              <w:t>Topic feasibility, research gap analysis, Sri Lankan context</w:t>
            </w:r>
          </w:p>
        </w:tc>
        <w:tc>
          <w:tcPr>
            <w:tcW w:type="dxa" w:w="2340"/>
          </w:tcPr>
          <w:p>
            <w:r>
              <w:rPr>
                <w:sz w:val="18"/>
              </w:rPr>
              <w:t>Approved</w:t>
            </w:r>
          </w:p>
        </w:tc>
      </w:tr>
      <w:tr>
        <w:tc>
          <w:tcPr>
            <w:tcW w:type="dxa" w:w="2340"/>
          </w:tcPr>
          <w:p>
            <w:r>
              <w:rPr>
                <w:sz w:val="18"/>
              </w:rPr>
              <w:t>2</w:t>
            </w:r>
          </w:p>
        </w:tc>
        <w:tc>
          <w:tcPr>
            <w:tcW w:type="dxa" w:w="2340"/>
          </w:tcPr>
          <w:p>
            <w:r>
              <w:rPr>
                <w:sz w:val="18"/>
              </w:rPr>
              <w:t>06 Jan 2026</w:t>
            </w:r>
          </w:p>
        </w:tc>
        <w:tc>
          <w:tcPr>
            <w:tcW w:type="dxa" w:w="2340"/>
          </w:tcPr>
          <w:p>
            <w:r>
              <w:rPr>
                <w:sz w:val="18"/>
              </w:rPr>
              <w:t>Comparative literature matrix, DSR methodology selection</w:t>
            </w:r>
          </w:p>
        </w:tc>
        <w:tc>
          <w:tcPr>
            <w:tcW w:type="dxa" w:w="2340"/>
          </w:tcPr>
          <w:p>
            <w:r>
              <w:rPr>
                <w:sz w:val="18"/>
              </w:rPr>
              <w:t>Approved</w:t>
            </w:r>
          </w:p>
        </w:tc>
      </w:tr>
      <w:tr>
        <w:tc>
          <w:tcPr>
            <w:tcW w:type="dxa" w:w="2340"/>
          </w:tcPr>
          <w:p>
            <w:r>
              <w:rPr>
                <w:sz w:val="18"/>
              </w:rPr>
              <w:t>3</w:t>
            </w:r>
          </w:p>
        </w:tc>
        <w:tc>
          <w:tcPr>
            <w:tcW w:type="dxa" w:w="2340"/>
          </w:tcPr>
          <w:p>
            <w:r>
              <w:rPr>
                <w:sz w:val="18"/>
              </w:rPr>
              <w:t>27 Jan 2026</w:t>
            </w:r>
          </w:p>
        </w:tc>
        <w:tc>
          <w:tcPr>
            <w:tcW w:type="dxa" w:w="2340"/>
          </w:tcPr>
          <w:p>
            <w:r>
              <w:rPr>
                <w:sz w:val="18"/>
              </w:rPr>
              <w:t>Survey questionnaire design, ethical clearance, target sample</w:t>
            </w:r>
          </w:p>
        </w:tc>
        <w:tc>
          <w:tcPr>
            <w:tcW w:type="dxa" w:w="2340"/>
          </w:tcPr>
          <w:p>
            <w:r>
              <w:rPr>
                <w:sz w:val="18"/>
              </w:rPr>
              <w:t>Approved</w:t>
            </w:r>
          </w:p>
        </w:tc>
      </w:tr>
      <w:tr>
        <w:tc>
          <w:tcPr>
            <w:tcW w:type="dxa" w:w="2340"/>
          </w:tcPr>
          <w:p>
            <w:r>
              <w:rPr>
                <w:sz w:val="18"/>
              </w:rPr>
              <w:t>4</w:t>
            </w:r>
          </w:p>
        </w:tc>
        <w:tc>
          <w:tcPr>
            <w:tcW w:type="dxa" w:w="2340"/>
          </w:tcPr>
          <w:p>
            <w:r>
              <w:rPr>
                <w:sz w:val="18"/>
              </w:rPr>
              <w:t>03 Mar 2026</w:t>
            </w:r>
          </w:p>
        </w:tc>
        <w:tc>
          <w:tcPr>
            <w:tcW w:type="dxa" w:w="2340"/>
          </w:tcPr>
          <w:p>
            <w:r>
              <w:rPr>
                <w:sz w:val="18"/>
              </w:rPr>
              <w:t>Survey data analysis (115 respondents), SRS formulation</w:t>
            </w:r>
          </w:p>
        </w:tc>
        <w:tc>
          <w:tcPr>
            <w:tcW w:type="dxa" w:w="2340"/>
          </w:tcPr>
          <w:p>
            <w:r>
              <w:rPr>
                <w:sz w:val="18"/>
              </w:rPr>
              <w:t>Approved</w:t>
            </w:r>
          </w:p>
        </w:tc>
      </w:tr>
      <w:tr>
        <w:tc>
          <w:tcPr>
            <w:tcW w:type="dxa" w:w="2340"/>
          </w:tcPr>
          <w:p>
            <w:r>
              <w:rPr>
                <w:sz w:val="18"/>
              </w:rPr>
              <w:t>5</w:t>
            </w:r>
          </w:p>
        </w:tc>
        <w:tc>
          <w:tcPr>
            <w:tcW w:type="dxa" w:w="2340"/>
          </w:tcPr>
          <w:p>
            <w:r>
              <w:rPr>
                <w:sz w:val="18"/>
              </w:rPr>
              <w:t>17 Mar 2026</w:t>
            </w:r>
          </w:p>
        </w:tc>
        <w:tc>
          <w:tcPr>
            <w:tcW w:type="dxa" w:w="2340"/>
          </w:tcPr>
          <w:p>
            <w:r>
              <w:rPr>
                <w:sz w:val="18"/>
              </w:rPr>
              <w:t>Isolation Forest model training, feature selection, heuristics</w:t>
            </w:r>
          </w:p>
        </w:tc>
        <w:tc>
          <w:tcPr>
            <w:tcW w:type="dxa" w:w="2340"/>
          </w:tcPr>
          <w:p>
            <w:r>
              <w:rPr>
                <w:sz w:val="18"/>
              </w:rPr>
              <w:t>Approved</w:t>
            </w:r>
          </w:p>
        </w:tc>
      </w:tr>
      <w:tr>
        <w:tc>
          <w:tcPr>
            <w:tcW w:type="dxa" w:w="2340"/>
          </w:tcPr>
          <w:p>
            <w:r>
              <w:rPr>
                <w:sz w:val="18"/>
              </w:rPr>
              <w:t>6</w:t>
            </w:r>
          </w:p>
        </w:tc>
        <w:tc>
          <w:tcPr>
            <w:tcW w:type="dxa" w:w="2340"/>
          </w:tcPr>
          <w:p>
            <w:r>
              <w:rPr>
                <w:sz w:val="18"/>
              </w:rPr>
              <w:t>28 Apr 2026</w:t>
            </w:r>
          </w:p>
        </w:tc>
        <w:tc>
          <w:tcPr>
            <w:tcW w:type="dxa" w:w="2340"/>
          </w:tcPr>
          <w:p>
            <w:r>
              <w:rPr>
                <w:sz w:val="18"/>
              </w:rPr>
              <w:t>OAuth 2.0 integration, dynamic revocation controller demo</w:t>
            </w:r>
          </w:p>
        </w:tc>
        <w:tc>
          <w:tcPr>
            <w:tcW w:type="dxa" w:w="2340"/>
          </w:tcPr>
          <w:p>
            <w:r>
              <w:rPr>
                <w:sz w:val="18"/>
              </w:rPr>
              <w:t>Approved</w:t>
            </w:r>
          </w:p>
        </w:tc>
      </w:tr>
      <w:tr>
        <w:tc>
          <w:tcPr>
            <w:tcW w:type="dxa" w:w="2340"/>
          </w:tcPr>
          <w:p>
            <w:r>
              <w:rPr>
                <w:sz w:val="18"/>
              </w:rPr>
              <w:t>7</w:t>
            </w:r>
          </w:p>
        </w:tc>
        <w:tc>
          <w:tcPr>
            <w:tcW w:type="dxa" w:w="2340"/>
          </w:tcPr>
          <w:p>
            <w:r>
              <w:rPr>
                <w:sz w:val="18"/>
              </w:rPr>
              <w:t>26 May 2026</w:t>
            </w:r>
          </w:p>
        </w:tc>
        <w:tc>
          <w:tcPr>
            <w:tcW w:type="dxa" w:w="2340"/>
          </w:tcPr>
          <w:p>
            <w:r>
              <w:rPr>
                <w:sz w:val="18"/>
              </w:rPr>
              <w:t>SPA dashboard, simulator scenarios, Excel report generation</w:t>
            </w:r>
          </w:p>
        </w:tc>
        <w:tc>
          <w:tcPr>
            <w:tcW w:type="dxa" w:w="2340"/>
          </w:tcPr>
          <w:p>
            <w:r>
              <w:rPr>
                <w:sz w:val="18"/>
              </w:rPr>
              <w:t>Approved</w:t>
            </w:r>
          </w:p>
        </w:tc>
      </w:tr>
      <w:tr>
        <w:tc>
          <w:tcPr>
            <w:tcW w:type="dxa" w:w="2340"/>
          </w:tcPr>
          <w:p>
            <w:r>
              <w:rPr>
                <w:sz w:val="18"/>
              </w:rPr>
              <w:t>8</w:t>
            </w:r>
          </w:p>
        </w:tc>
        <w:tc>
          <w:tcPr>
            <w:tcW w:type="dxa" w:w="2340"/>
          </w:tcPr>
          <w:p>
            <w:r>
              <w:rPr>
                <w:sz w:val="18"/>
              </w:rPr>
              <w:t>07 Jul 2026</w:t>
            </w:r>
          </w:p>
        </w:tc>
        <w:tc>
          <w:tcPr>
            <w:tcW w:type="dxa" w:w="2340"/>
          </w:tcPr>
          <w:p>
            <w:r>
              <w:rPr>
                <w:sz w:val="18"/>
              </w:rPr>
              <w:t>Benchmark evaluation results (1,555 samples), ROC curves</w:t>
            </w:r>
          </w:p>
        </w:tc>
        <w:tc>
          <w:tcPr>
            <w:tcW w:type="dxa" w:w="2340"/>
          </w:tcPr>
          <w:p>
            <w:r>
              <w:rPr>
                <w:sz w:val="18"/>
              </w:rPr>
              <w:t>Approved</w:t>
            </w:r>
          </w:p>
        </w:tc>
      </w:tr>
      <w:tr>
        <w:tc>
          <w:tcPr>
            <w:tcW w:type="dxa" w:w="2340"/>
          </w:tcPr>
          <w:p>
            <w:r>
              <w:rPr>
                <w:sz w:val="18"/>
              </w:rPr>
              <w:t>9</w:t>
            </w:r>
          </w:p>
        </w:tc>
        <w:tc>
          <w:tcPr>
            <w:tcW w:type="dxa" w:w="2340"/>
          </w:tcPr>
          <w:p>
            <w:r>
              <w:rPr>
                <w:sz w:val="18"/>
              </w:rPr>
              <w:t>04 Aug 2026</w:t>
            </w:r>
          </w:p>
        </w:tc>
        <w:tc>
          <w:tcPr>
            <w:tcW w:type="dxa" w:w="2340"/>
          </w:tcPr>
          <w:p>
            <w:r>
              <w:rPr>
                <w:sz w:val="18"/>
              </w:rPr>
              <w:t>Full thesis report review (Chapters 1–8), reference check</w:t>
            </w:r>
          </w:p>
        </w:tc>
        <w:tc>
          <w:tcPr>
            <w:tcW w:type="dxa" w:w="2340"/>
          </w:tcPr>
          <w:p>
            <w:r>
              <w:rPr>
                <w:sz w:val="18"/>
              </w:rPr>
              <w:t>Approved</w:t>
            </w:r>
          </w:p>
        </w:tc>
      </w:tr>
      <w:tr>
        <w:tc>
          <w:tcPr>
            <w:tcW w:type="dxa" w:w="2340"/>
          </w:tcPr>
          <w:p>
            <w:r>
              <w:rPr>
                <w:sz w:val="18"/>
              </w:rPr>
              <w:t>10</w:t>
            </w:r>
          </w:p>
        </w:tc>
        <w:tc>
          <w:tcPr>
            <w:tcW w:type="dxa" w:w="2340"/>
          </w:tcPr>
          <w:p>
            <w:r>
              <w:rPr>
                <w:sz w:val="18"/>
              </w:rPr>
              <w:t>30 Aug 2026</w:t>
            </w:r>
          </w:p>
        </w:tc>
        <w:tc>
          <w:tcPr>
            <w:tcW w:type="dxa" w:w="2340"/>
          </w:tcPr>
          <w:p>
            <w:r>
              <w:rPr>
                <w:sz w:val="18"/>
              </w:rPr>
              <w:t>Final submission validation and viva defense readiness</w:t>
            </w:r>
          </w:p>
        </w:tc>
        <w:tc>
          <w:tcPr>
            <w:tcW w:type="dxa" w:w="2340"/>
          </w:tcPr>
          <w:p>
            <w:r>
              <w:rPr>
                <w:sz w:val="18"/>
              </w:rPr>
              <w:t>Signed Off</w:t>
            </w:r>
          </w:p>
        </w:tc>
      </w:tr>
    </w:tbl>
    <w:p/>
    <w:p>
      <w:r>
        <w:rPr>
          <w:rFonts w:ascii="Calibri" w:hAnsi="Calibri"/>
          <w:b/>
          <w:color w:val="0F172A"/>
          <w:sz w:val="28"/>
        </w:rPr>
        <w:t>5. Final Academic Declaration &amp; Sign-Off</w:t>
      </w:r>
    </w:p>
    <w:p>
      <w:r>
        <w:rPr>
          <w:sz w:val="20"/>
        </w:rPr>
        <w:t>Student Signature: Poorna Wickramasinghe                            Date: August 29, 2026</w:t>
      </w:r>
    </w:p>
    <w:p>
      <w:r>
        <w:rPr>
          <w:sz w:val="20"/>
        </w:rPr>
        <w:t>Supervisor Signature: Mr. Mevan Jayathilaka                          Date: August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