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LivoSpeak AI — System Architecture &amp; DPDP Compliance</w:t>
      </w:r>
    </w:p>
    <w:p>
      <w:pPr>
        <w:jc w:val="center"/>
      </w:pPr>
      <w:r>
        <w:rPr>
          <w:i/>
          <w:sz w:val="22"/>
        </w:rPr>
        <w:t>Developed by K Poorna Teja Reddy | July 7, 2026</w:t>
      </w:r>
    </w:p>
    <w:p>
      <w:pPr>
        <w:spacing w:before="160" w:after="160"/>
      </w:pPr>
      <w:r>
        <w:t>This document details the production-ready system architecture, pronunciation scoring algorithms, and security guidelines for LivoSpeak AI. It details our architectural trade-offs, model selection, and comprehensive compliance strategy with India's Digital Personal Data Protection (DPDP) Act 2023.</w:t>
      </w:r>
    </w:p>
    <w:p>
      <w:pPr>
        <w:pStyle w:val="Heading1"/>
      </w:pPr>
      <w:r>
        <w:rPr>
          <w:b/>
          <w:sz w:val="26"/>
        </w:rPr>
        <w:t>1. System Components &amp; Connections</w:t>
      </w:r>
    </w:p>
    <w:p>
      <w:r>
        <w:t>LivoSpeak AI uses an asynchronous, decoupled client-server architecture designed for high-performance, low-latency analysis, and complete data privacy.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Borders>
              <w:top w:sz="12" w:val="dashed" w:color="A0A0A0" w:space="0"/>
              <w:left w:sz="12" w:val="dashed" w:color="A0A0A0" w:space="0"/>
              <w:bottom w:sz="12" w:val="dashed" w:color="A0A0A0" w:space="0"/>
              <w:right w:sz="12" w:val="dashed" w:color="A0A0A0" w:space="0"/>
            </w:tcBorders>
          </w:tcPr>
          <w:p>
            <w:pPr>
              <w:spacing w:before="720" w:after="720"/>
              <w:jc w:val="center"/>
            </w:pPr>
            <w:r>
              <w:rPr>
                <w:b/>
                <w:color w:val="808080"/>
                <w:sz w:val="19"/>
              </w:rPr>
              <w:t>[ PLACEHOLDER: Paste System Architecture Diagram (mermaid-drawing.svg) Here ]</w:t>
            </w:r>
          </w:p>
        </w:tc>
      </w:tr>
    </w:tbl>
    <w:p>
      <w:pPr>
        <w:spacing w:before="160"/>
      </w:pPr>
      <w:r>
        <w:t>• Frontend (Next.js 15): Handles recording wrapper &amp; dynamic speaking statistics dashboard.</w:t>
        <w:br/>
        <w:t>• Backend (FastAPI): API gateway, orchestrates audio transcoding, Groq API calls, and scoring.</w:t>
        <w:br/>
        <w:t>• Database (MongoDB): Persists speaking transcripts, analytics history, and practice plans.</w:t>
        <w:br/>
        <w:t>• Transcoding (FFmpeg): Standardizes browser WebM/OGG files to linear 16kHz mono WAV.</w:t>
      </w:r>
    </w:p>
    <w:p>
      <w:pPr>
        <w:pStyle w:val="Heading1"/>
      </w:pPr>
      <w:r>
        <w:rPr>
          <w:b/>
          <w:sz w:val="26"/>
        </w:rPr>
        <w:t>2. Model Selection &amp; Rationale</w:t>
      </w:r>
    </w:p>
    <w:p>
      <w:r>
        <w:t>To scale the platform on lightweight hosting without GPU dependency, LivoSpeak offloads inference workloads to Groq's high-speed LPU platform: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Capability</w:t>
            </w:r>
          </w:p>
        </w:tc>
        <w:tc>
          <w:tcPr>
            <w:tcW w:type="dxa" w:w="3408"/>
          </w:tcPr>
          <w:p>
            <w:r>
              <w:t>Model Selected</w:t>
            </w:r>
          </w:p>
        </w:tc>
        <w:tc>
          <w:tcPr>
            <w:tcW w:type="dxa" w:w="3408"/>
          </w:tcPr>
          <w:p>
            <w:r>
              <w:t>Core Rationale over Alternatives</w:t>
            </w:r>
          </w:p>
        </w:tc>
      </w:tr>
      <w:tr>
        <w:tc>
          <w:tcPr>
            <w:tcW w:type="dxa" w:w="3408"/>
          </w:tcPr>
          <w:p>
            <w:r>
              <w:t>Speech-to-Text</w:t>
            </w:r>
          </w:p>
        </w:tc>
        <w:tc>
          <w:tcPr>
            <w:tcW w:type="dxa" w:w="3408"/>
          </w:tcPr>
          <w:p>
            <w:r>
              <w:t>Groq Whisper Large V3</w:t>
            </w:r>
          </w:p>
        </w:tc>
        <w:tc>
          <w:tcPr>
            <w:tcW w:type="dxa" w:w="3408"/>
          </w:tcPr>
          <w:p>
            <w:r>
              <w:t>Sub-second latency; delivers precise word-level confidence and timestamp alignments.</w:t>
            </w:r>
          </w:p>
        </w:tc>
      </w:tr>
      <w:tr>
        <w:tc>
          <w:tcPr>
            <w:tcW w:type="dxa" w:w="3408"/>
          </w:tcPr>
          <w:p>
            <w:r>
              <w:t>Speech Coaching</w:t>
            </w:r>
          </w:p>
        </w:tc>
        <w:tc>
          <w:tcPr>
            <w:tcW w:type="dxa" w:w="3408"/>
          </w:tcPr>
          <w:p>
            <w:r>
              <w:t>Llama 3.3 70B</w:t>
            </w:r>
          </w:p>
        </w:tc>
        <w:tc>
          <w:tcPr>
            <w:tcW w:type="dxa" w:w="3408"/>
          </w:tcPr>
          <w:p>
            <w:r>
              <w:t>Superb instruction-following in JSON mode; complies with zero user data retention.</w:t>
            </w:r>
          </w:p>
        </w:tc>
      </w:tr>
      <w:tr>
        <w:tc>
          <w:tcPr>
            <w:tcW w:type="dxa" w:w="3408"/>
          </w:tcPr>
          <w:p>
            <w:r>
              <w:t>Database Driver</w:t>
            </w:r>
          </w:p>
        </w:tc>
        <w:tc>
          <w:tcPr>
            <w:tcW w:type="dxa" w:w="3408"/>
          </w:tcPr>
          <w:p>
            <w:r>
              <w:t>Motor (Async)</w:t>
            </w:r>
          </w:p>
        </w:tc>
        <w:tc>
          <w:tcPr>
            <w:tcW w:type="dxa" w:w="3408"/>
          </w:tcPr>
          <w:p>
            <w:r>
              <w:t>Keeps the FastAPI event loop fully non-blocking during DB read/write history operations.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sz w:val="26"/>
        </w:rPr>
        <w:t>3. Pronunciation Scoring &amp; Highlight Logic</w:t>
      </w:r>
    </w:p>
    <w:p>
      <w:r>
        <w:t>Speech-to-text models automatically correct accents. To provide accurate feedback, LivoSpeak uses a Hybrid STT-LLM Scoring Pipeline:</w:t>
      </w:r>
    </w:p>
    <w:p>
      <w:r>
        <w:t>• Pronunciation Score: Calculates base from Whisper word confidence scores, then subtracts 6 points for each real pronunciation mistake identified by Llama 3.3 (up to 30 points max).</w:t>
        <w:br/>
        <w:t>• Speech Clarity: Measures high-confidence token ratios, applying 5-point deductions per articulation error.</w:t>
        <w:br/>
        <w:t>• Fluency: Evaluates speaking rate against the native English range (110-145 WPM). Points are deducted for speed deviations and silent pauses over 1.2s (-4 points per pause).</w:t>
        <w:br/>
        <w:t>• Visual Highlights: Identified mistake words are compared to the token array using punctuation-stripped string matching and rendered in red on the interactive UI transcript.</w:t>
      </w:r>
    </w:p>
    <w:p>
      <w:pPr>
        <w:pStyle w:val="Heading1"/>
      </w:pPr>
      <w:r>
        <w:rPr>
          <w:b/>
          <w:sz w:val="26"/>
        </w:rPr>
        <w:t>4. India DPDP Act 2023 Compliance</w:t>
      </w:r>
    </w:p>
    <w:p>
      <w:r>
        <w:t>LivoSpeak AI enforces privacy-by-design to align with India's DPDP Act 2023 guidelines:</w:t>
      </w:r>
    </w:p>
    <w:p>
      <w:r>
        <w:t>• Zero Audio Retention: Audio files are processed in-memory or written to secure temp folders, then physically deleted (os.remove) inside a python finally block immediately after analysis. Audio data is kept for &lt; 5 seconds.</w:t>
        <w:br/>
        <w:t>• Biometric Safeguards: The platform never generates or stores voiceprints, biometric parameters, or voice recordings.</w:t>
        <w:br/>
        <w:t>• Consent: Recording and upload triggers serve as clear affirmative consent.</w:t>
        <w:br/>
        <w:t>• Data Residency: All backend endpoints and MongoDB clusters run inside compliant regional cloud data centers.</w:t>
        <w:br/>
        <w:t>• Right to Erasure: Users can delete specific speaking sessions via the dashboard trash icon, triggering an immediate DB record purge.</w:t>
      </w:r>
    </w:p>
    <w:p>
      <w:pPr>
        <w:pStyle w:val="Heading1"/>
      </w:pPr>
      <w:r>
        <w:rPr>
          <w:b/>
          <w:sz w:val="26"/>
        </w:rPr>
        <w:t>5. Architectural Trade-offs &amp; Next Steps</w:t>
      </w:r>
    </w:p>
    <w:p>
      <w:r>
        <w:t>• Trade-off: Ephemeral Audio: Because audio is deleted instantly for security, past recording audio cannot be replayed. This eliminates the risk of voice biometric profile exposure.</w:t>
        <w:br/>
        <w:t>• Next Steps: Integrate OAuth2 user auth (NextAuth/Auth0), add real-time acoustic phoneme mapping (e.g. Wav2Vec2), and add comparative progress trend graphs.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