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A580C"/>
          <w:sz w:val="20"/>
        </w:rPr>
        <w:t>OFFICIAL HACKATHON TECHNICAL REPORT • TEAM ORYN</w:t>
      </w:r>
    </w:p>
    <w:p>
      <w:pPr>
        <w:spacing w:before="80" w:after="120"/>
      </w:pPr>
      <w:r>
        <w:rPr>
          <w:b/>
          <w:color w:val="0F172A"/>
          <w:sz w:val="52"/>
        </w:rPr>
        <w:t>Happy Pocket (FinLens)</w:t>
      </w:r>
    </w:p>
    <w:p>
      <w:pPr>
        <w:spacing w:before="0" w:after="280"/>
      </w:pPr>
      <w:r>
        <w:rPr>
          <w:i/>
          <w:color w:val="475569"/>
          <w:sz w:val="25"/>
        </w:rPr>
        <w:t>Autonomous Consumer Financial Intelligence, Anti-Distortion Spending Engine &amp; Live AMFI Wealth Compounding Platform</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8FAFC"/>
            <w:tcMar>
              <w:top w:w="100" w:type="dxa"/>
              <w:bottom w:w="100" w:type="dxa"/>
              <w:left w:w="140" w:type="dxa"/>
              <w:right w:w="140" w:type="dxa"/>
            </w:tcMar>
          </w:tcPr>
          <w:p>
            <w:pPr>
              <w:spacing w:after="0"/>
            </w:pPr>
            <w:r>
              <w:rPr>
                <w:b/>
                <w:color w:val="1E293B"/>
                <w:sz w:val="19"/>
              </w:rPr>
              <w:t>Team Name</w:t>
            </w:r>
          </w:p>
        </w:tc>
        <w:tc>
          <w:tcPr>
            <w:tcW w:type="dxa" w:w="6192"/>
            <w:shd w:val="clear" w:color="auto" w:fill="FFFFFF"/>
            <w:tcMar>
              <w:top w:w="100" w:type="dxa"/>
              <w:bottom w:w="100" w:type="dxa"/>
              <w:left w:w="140" w:type="dxa"/>
              <w:right w:w="140" w:type="dxa"/>
            </w:tcMar>
          </w:tcPr>
          <w:p>
            <w:pPr>
              <w:spacing w:after="0"/>
            </w:pPr>
            <w:r>
              <w:rPr>
                <w:color w:val="0F172A"/>
                <w:sz w:val="19"/>
              </w:rPr>
              <w:t>ORYN</w:t>
            </w:r>
          </w:p>
        </w:tc>
      </w:tr>
      <w:tr>
        <w:tc>
          <w:tcPr>
            <w:tcW w:type="dxa" w:w="3168"/>
            <w:shd w:val="clear" w:color="auto" w:fill="F8FAFC"/>
            <w:tcMar>
              <w:top w:w="100" w:type="dxa"/>
              <w:bottom w:w="100" w:type="dxa"/>
              <w:left w:w="140" w:type="dxa"/>
              <w:right w:w="140" w:type="dxa"/>
            </w:tcMar>
          </w:tcPr>
          <w:p>
            <w:pPr>
              <w:spacing w:after="0"/>
            </w:pPr>
            <w:r>
              <w:rPr>
                <w:b/>
                <w:color w:val="1E293B"/>
                <w:sz w:val="19"/>
              </w:rPr>
              <w:t>Hackathon Theme</w:t>
            </w:r>
          </w:p>
        </w:tc>
        <w:tc>
          <w:tcPr>
            <w:tcW w:type="dxa" w:w="6192"/>
            <w:shd w:val="clear" w:color="auto" w:fill="FFFFFF"/>
            <w:tcMar>
              <w:top w:w="100" w:type="dxa"/>
              <w:bottom w:w="100" w:type="dxa"/>
              <w:left w:w="140" w:type="dxa"/>
              <w:right w:w="140" w:type="dxa"/>
            </w:tcMar>
          </w:tcPr>
          <w:p>
            <w:pPr>
              <w:spacing w:after="0"/>
            </w:pPr>
            <w:r>
              <w:rPr>
                <w:color w:val="0F172A"/>
                <w:sz w:val="19"/>
              </w:rPr>
              <w:t>Finance (Consumer Finance &amp; Wealth Technology)</w:t>
            </w:r>
          </w:p>
        </w:tc>
      </w:tr>
      <w:tr>
        <w:tc>
          <w:tcPr>
            <w:tcW w:type="dxa" w:w="3168"/>
            <w:shd w:val="clear" w:color="auto" w:fill="F8FAFC"/>
            <w:tcMar>
              <w:top w:w="100" w:type="dxa"/>
              <w:bottom w:w="100" w:type="dxa"/>
              <w:left w:w="140" w:type="dxa"/>
              <w:right w:w="140" w:type="dxa"/>
            </w:tcMar>
          </w:tcPr>
          <w:p>
            <w:pPr>
              <w:spacing w:after="0"/>
            </w:pPr>
            <w:r>
              <w:rPr>
                <w:b/>
                <w:color w:val="1E293B"/>
                <w:sz w:val="19"/>
              </w:rPr>
              <w:t>Project Name</w:t>
            </w:r>
          </w:p>
        </w:tc>
        <w:tc>
          <w:tcPr>
            <w:tcW w:type="dxa" w:w="6192"/>
            <w:shd w:val="clear" w:color="auto" w:fill="FFFFFF"/>
            <w:tcMar>
              <w:top w:w="100" w:type="dxa"/>
              <w:bottom w:w="100" w:type="dxa"/>
              <w:left w:w="140" w:type="dxa"/>
              <w:right w:w="140" w:type="dxa"/>
            </w:tcMar>
          </w:tcPr>
          <w:p>
            <w:pPr>
              <w:spacing w:after="0"/>
            </w:pPr>
            <w:r>
              <w:rPr>
                <w:color w:val="0F172A"/>
                <w:sz w:val="19"/>
              </w:rPr>
              <w:t>Happy Pocket (FinLens)</w:t>
            </w:r>
          </w:p>
        </w:tc>
      </w:tr>
      <w:tr>
        <w:tc>
          <w:tcPr>
            <w:tcW w:type="dxa" w:w="3168"/>
            <w:shd w:val="clear" w:color="auto" w:fill="F8FAFC"/>
            <w:tcMar>
              <w:top w:w="100" w:type="dxa"/>
              <w:bottom w:w="100" w:type="dxa"/>
              <w:left w:w="140" w:type="dxa"/>
              <w:right w:w="140" w:type="dxa"/>
            </w:tcMar>
          </w:tcPr>
          <w:p>
            <w:pPr>
              <w:spacing w:after="0"/>
            </w:pPr>
            <w:r>
              <w:rPr>
                <w:b/>
                <w:color w:val="1E293B"/>
                <w:sz w:val="19"/>
              </w:rPr>
              <w:t>Selected Challenge</w:t>
            </w:r>
          </w:p>
        </w:tc>
        <w:tc>
          <w:tcPr>
            <w:tcW w:type="dxa" w:w="6192"/>
            <w:shd w:val="clear" w:color="auto" w:fill="FFFFFF"/>
            <w:tcMar>
              <w:top w:w="100" w:type="dxa"/>
              <w:bottom w:w="100" w:type="dxa"/>
              <w:left w:w="140" w:type="dxa"/>
              <w:right w:w="140" w:type="dxa"/>
            </w:tcMar>
          </w:tcPr>
          <w:p>
            <w:pPr>
              <w:spacing w:after="0"/>
            </w:pPr>
            <w:r>
              <w:rPr>
                <w:color w:val="0F172A"/>
                <w:sz w:val="19"/>
              </w:rPr>
              <w:t>Consumer Finance Spending Analysis (Problem Statement 6)</w:t>
            </w:r>
          </w:p>
        </w:tc>
      </w:tr>
      <w:tr>
        <w:tc>
          <w:tcPr>
            <w:tcW w:type="dxa" w:w="3168"/>
            <w:shd w:val="clear" w:color="auto" w:fill="F8FAFC"/>
            <w:tcMar>
              <w:top w:w="100" w:type="dxa"/>
              <w:bottom w:w="100" w:type="dxa"/>
              <w:left w:w="140" w:type="dxa"/>
              <w:right w:w="140" w:type="dxa"/>
            </w:tcMar>
          </w:tcPr>
          <w:p>
            <w:pPr>
              <w:spacing w:after="0"/>
            </w:pPr>
            <w:r>
              <w:rPr>
                <w:b/>
                <w:color w:val="1E293B"/>
                <w:sz w:val="19"/>
              </w:rPr>
              <w:t>Architecture &amp; Tech</w:t>
            </w:r>
          </w:p>
        </w:tc>
        <w:tc>
          <w:tcPr>
            <w:tcW w:type="dxa" w:w="6192"/>
            <w:shd w:val="clear" w:color="auto" w:fill="FFFFFF"/>
            <w:tcMar>
              <w:top w:w="100" w:type="dxa"/>
              <w:bottom w:w="100" w:type="dxa"/>
              <w:left w:w="140" w:type="dxa"/>
              <w:right w:w="140" w:type="dxa"/>
            </w:tcMar>
          </w:tcPr>
          <w:p>
            <w:pPr>
              <w:spacing w:after="0"/>
            </w:pPr>
            <w:r>
              <w:rPr>
                <w:color w:val="0F172A"/>
                <w:sz w:val="19"/>
              </w:rPr>
              <w:t>Next.js 16 (App Router), React 19, TypeScript, MongoDB Atlas, ReBIT AA &amp; AMFI APIs</w:t>
            </w:r>
          </w:p>
        </w:tc>
      </w:tr>
    </w:tbl>
    <w:p>
      <w:pPr>
        <w:spacing w:after="280"/>
      </w:pPr>
    </w:p>
    <w:p>
      <w:pPr>
        <w:keepNext/>
        <w:spacing w:before="360" w:after="120"/>
      </w:pPr>
      <w:r>
        <w:rPr>
          <w:b/>
          <w:color w:val="EA580C"/>
          <w:sz w:val="28"/>
        </w:rPr>
        <w:t xml:space="preserve">1. </w:t>
      </w:r>
      <w:r>
        <w:rPr>
          <w:b/>
          <w:color w:val="0F172A"/>
          <w:sz w:val="28"/>
        </w:rPr>
        <w:t>Project Overview</w:t>
      </w:r>
    </w:p>
    <w:p>
      <w:pPr>
        <w:pStyle w:val="ListBullet"/>
        <w:spacing w:before="0" w:after="80" w:line="276" w:lineRule="auto"/>
      </w:pPr>
      <w:r>
        <w:rPr>
          <w:b/>
          <w:color w:val="0F172A"/>
          <w:sz w:val="21"/>
        </w:rPr>
        <w:t xml:space="preserve">Project Title: </w:t>
      </w:r>
      <w:r>
        <w:rPr>
          <w:color w:val="334155"/>
          <w:sz w:val="21"/>
        </w:rPr>
        <w:t>Happy Pocket (FinLens) — Autonomous Personal Financial Intelligence &amp; Wealth Engine</w:t>
      </w:r>
    </w:p>
    <w:p>
      <w:pPr>
        <w:pStyle w:val="ListBullet"/>
        <w:spacing w:before="0" w:after="80" w:line="276" w:lineRule="auto"/>
      </w:pPr>
      <w:r>
        <w:rPr>
          <w:b/>
          <w:color w:val="0F172A"/>
          <w:sz w:val="21"/>
        </w:rPr>
        <w:t xml:space="preserve">Team Name: </w:t>
      </w:r>
      <w:r>
        <w:rPr>
          <w:color w:val="334155"/>
          <w:sz w:val="21"/>
        </w:rPr>
        <w:t>ORYN</w:t>
      </w:r>
    </w:p>
    <w:p>
      <w:pPr>
        <w:pStyle w:val="ListBullet"/>
        <w:spacing w:before="0" w:after="80" w:line="276" w:lineRule="auto"/>
      </w:pPr>
      <w:r>
        <w:rPr>
          <w:b/>
          <w:color w:val="0F172A"/>
          <w:sz w:val="21"/>
        </w:rPr>
        <w:t xml:space="preserve">Theme: </w:t>
      </w:r>
      <w:r>
        <w:rPr>
          <w:color w:val="334155"/>
          <w:sz w:val="21"/>
        </w:rPr>
        <w:t>Finance</w:t>
      </w:r>
    </w:p>
    <w:p>
      <w:pPr>
        <w:pStyle w:val="ListBullet"/>
        <w:spacing w:before="0" w:after="80" w:line="276" w:lineRule="auto"/>
      </w:pPr>
      <w:r>
        <w:rPr>
          <w:b/>
          <w:color w:val="0F172A"/>
          <w:sz w:val="21"/>
        </w:rPr>
        <w:t xml:space="preserve">Official Problem Statement: </w:t>
      </w:r>
      <w:r>
        <w:rPr>
          <w:color w:val="334155"/>
          <w:sz w:val="21"/>
        </w:rPr>
        <w:t>Develop a solution that transforms fragmented financial activity into a clear, useful picture of an individual's spending behaviour, recurring commitments, and overall financial position. The solution should help users categorise transactions, identify recurring payments, distinguish essential commitments from discretionary spending, and recognise meaningful changes in their financial behaviour. It should account for transfers between a user's own accounts, refunds, irregular income, shared expenses, and other transactions that may distort a simple spending summary. Users should be able to investigate unexpected spending, estimate the future impact of recurring commitments, compare actual expenditure against a budget, and explore practical adjustments to improve their financial position. The solution should make its conclusions understandable and allow users to correct inaccurate classifications or assumptions.</w:t>
      </w:r>
    </w:p>
    <w:p>
      <w:pPr>
        <w:pStyle w:val="ListBullet"/>
        <w:spacing w:before="0" w:after="80" w:line="276" w:lineRule="auto"/>
      </w:pPr>
      <w:r>
        <w:rPr>
          <w:b/>
          <w:color w:val="0F172A"/>
          <w:sz w:val="21"/>
        </w:rPr>
        <w:t xml:space="preserve">Executive Summary: </w:t>
      </w:r>
      <w:r>
        <w:rPr>
          <w:color w:val="334155"/>
          <w:sz w:val="21"/>
        </w:rPr>
        <w:t>When consumers check their bank accounts at the end of the month, the most common question is: 'Where did all my money go?' In India's hyper-frictionless UPI economy, spending money has become invisible. Furthermore, existing personal finance apps suffer from severe analytical distortion: moving ₹25,000 between your own accounts is flagged as ₹25,000 spent; a ₹2,490 clothing return credit is lost in transaction feeds while leaving an inflated debit; and recurring auto-debits silently increase by 20% without warning. Team ORYN built Happy Pocket (FinLens) to solve this exact problem. Happy Pocket is not another passive expense viewer. It is an active, deterministic financial intelligence engine that ingests records via UPI, PDF statements, and the official RBI Account Aggregator (AA) framework. It mathematically isolates 'True Living Expenses' through automated self-transfer and refund netting, catches avoidable impulse leakage, and calculates the 5- and 10-year compounded opportunity cost of that leakage using live daily NAVs from official AMFI mutual fund APIs. It also provides dual-persona support for micro-merchants (Medical Stores, Colleges) and offers complete transparency with 1-click human-in-the-loop transaction editing.</w:t>
      </w:r>
    </w:p>
    <w:p>
      <w:pPr>
        <w:keepNext/>
        <w:spacing w:before="360" w:after="120"/>
      </w:pPr>
      <w:r>
        <w:rPr>
          <w:b/>
          <w:color w:val="EA580C"/>
          <w:sz w:val="28"/>
        </w:rPr>
        <w:t xml:space="preserve">2. </w:t>
      </w:r>
      <w:r>
        <w:rPr>
          <w:b/>
          <w:color w:val="0F172A"/>
          <w:sz w:val="28"/>
        </w:rPr>
        <w:t>Problem Understanding &amp; Human Financial Psychology</w:t>
      </w:r>
    </w:p>
    <w:p>
      <w:pPr>
        <w:spacing w:before="0" w:after="120" w:line="276" w:lineRule="auto"/>
      </w:pPr>
      <w:r>
        <w:rPr>
          <w:sz w:val="21"/>
        </w:rPr>
        <w:t>To build a truly effective financial visibility tool, our team spent time analyzing why individuals consistently fail at personal budgeting. The failure is rarely a lack of discipline; it is primarily a failure of the tools they use.</w:t>
      </w:r>
    </w:p>
    <w:p>
      <w:pPr>
        <w:pStyle w:val="ListBullet"/>
        <w:spacing w:before="0" w:after="80" w:line="276" w:lineRule="auto"/>
      </w:pPr>
      <w:r>
        <w:rPr>
          <w:b/>
          <w:color w:val="0F172A"/>
          <w:sz w:val="21"/>
        </w:rPr>
        <w:t xml:space="preserve">1. Frictionless Spending &amp; Cognitive Disconnect: </w:t>
      </w:r>
      <w:r>
        <w:rPr>
          <w:color w:val="334155"/>
          <w:sz w:val="21"/>
        </w:rPr>
        <w:t>UPI QR codes and 1-click mandates have completely eliminated the psychological pain of paying. When physical cash leaves a wallet, a person feels the loss. When an individual scans a QR code for ₹40 tea or ₹350 food delivery, the brain registers zero friction. These micro-transactions silently compound into ₹3,000–₹5,000 in monthly leakage.</w:t>
      </w:r>
    </w:p>
    <w:p>
      <w:pPr>
        <w:pStyle w:val="ListBullet"/>
        <w:spacing w:before="0" w:after="80" w:line="276" w:lineRule="auto"/>
      </w:pPr>
      <w:r>
        <w:rPr>
          <w:b/>
          <w:color w:val="0F172A"/>
          <w:sz w:val="21"/>
        </w:rPr>
        <w:t xml:space="preserve">2. The Distortion Crisis in Modern Banking: </w:t>
      </w:r>
      <w:r>
        <w:rPr>
          <w:color w:val="334155"/>
          <w:sz w:val="21"/>
        </w:rPr>
        <w:t>A typical user has an HDFC salary account, an SBI secondary account, and multiple digital wallets. When they transfer ₹30,000 from SBI to HDFC to pay a credit card bill, conventional apps log this as a ₹30,000 expense. When they order ₹2,490 clothes from Zara, find the size wrong, and receive a refund 4 days later, standard trackers show an artificial ₹2,490 debit. This creates budgeting panic and renders monthly expenditure figures completely meaningless.</w:t>
      </w:r>
    </w:p>
    <w:p>
      <w:pPr>
        <w:pStyle w:val="ListBullet"/>
        <w:spacing w:before="0" w:after="80" w:line="276" w:lineRule="auto"/>
      </w:pPr>
      <w:r>
        <w:rPr>
          <w:b/>
          <w:color w:val="0F172A"/>
          <w:sz w:val="21"/>
        </w:rPr>
        <w:t xml:space="preserve">3. The Zombie Subscription Drain: </w:t>
      </w:r>
      <w:r>
        <w:rPr>
          <w:color w:val="334155"/>
          <w:sz w:val="21"/>
        </w:rPr>
        <w:t>Consumers sign up for OTT streaming, cloud storage, and fitness apps during trials. Over time, recurring charges continue unnoticed. Furthermore, subscription platforms quietly increase monthly pricing (e.g. ₹119 to ₹179), which users rarely catch on standard bank SMS alerts.</w:t>
      </w:r>
    </w:p>
    <w:p>
      <w:pPr>
        <w:pStyle w:val="ListBullet"/>
        <w:spacing w:before="0" w:after="80" w:line="276" w:lineRule="auto"/>
      </w:pPr>
      <w:r>
        <w:rPr>
          <w:b/>
          <w:color w:val="0F172A"/>
          <w:sz w:val="21"/>
        </w:rPr>
        <w:t xml:space="preserve">4. The Black-Box AI Trap: </w:t>
      </w:r>
      <w:r>
        <w:rPr>
          <w:color w:val="334155"/>
          <w:sz w:val="21"/>
        </w:rPr>
        <w:t>Modern apps attempt to use generative AI or opaque classifiers that blindly force ambiguous Indian vendor names (like 'Sri Lakshmi Traders' or 'Balaji Enterprises') into incorrect categories, giving users no easy way to inspect or correct the reasoning.</w:t>
      </w:r>
    </w:p>
    <w:p>
      <w:pPr>
        <w:pStyle w:val="ListBullet"/>
        <w:spacing w:before="0" w:after="80" w:line="276" w:lineRule="auto"/>
      </w:pPr>
      <w:r>
        <w:rPr>
          <w:b/>
          <w:color w:val="0F172A"/>
          <w:sz w:val="21"/>
        </w:rPr>
        <w:t xml:space="preserve">5. Who We Are Solving For: </w:t>
      </w:r>
      <w:r>
        <w:rPr>
          <w:color w:val="334155"/>
          <w:sz w:val="21"/>
        </w:rPr>
        <w:t>We designed Happy Pocket for three core groups: 1) Young salaried professionals drowning in UPI micro-debits; 2) Small micro-merchants and freelancers (pharmacists, tuition teachers) who mix personal household spends with commercial collections; and 3) Individuals who want to know exactly how much money they can safely allocate toward monthly mutual fund SIPs without endangering their essential living costs.</w:t>
      </w:r>
    </w:p>
    <w:p>
      <w:pPr>
        <w:keepNext/>
        <w:spacing w:before="360" w:after="120"/>
      </w:pPr>
      <w:r>
        <w:rPr>
          <w:b/>
          <w:color w:val="EA580C"/>
          <w:sz w:val="28"/>
        </w:rPr>
        <w:t xml:space="preserve">3. </w:t>
      </w:r>
      <w:r>
        <w:rPr>
          <w:b/>
          <w:color w:val="0F172A"/>
          <w:sz w:val="28"/>
        </w:rPr>
        <w:t>Proposed Solution &amp; User Journey</w:t>
      </w:r>
    </w:p>
    <w:p>
      <w:pPr>
        <w:spacing w:before="0" w:after="120" w:line="276" w:lineRule="auto"/>
      </w:pPr>
      <w:r>
        <w:rPr>
          <w:sz w:val="21"/>
        </w:rPr>
        <w:t>Happy Pocket addresses the problem statement through a four-stage deterministic pipeline that transforms chaotic financial records into a clear, actionable roadmap for wealth building.</w:t>
      </w:r>
    </w:p>
    <w:p>
      <w:pPr>
        <w:keepNext/>
        <w:spacing w:before="240" w:after="80"/>
      </w:pPr>
      <w:r>
        <w:rPr>
          <w:b/>
          <w:color w:val="1E293B"/>
          <w:sz w:val="23"/>
        </w:rPr>
        <w:t>Stage 1: Multi-Rail Ingestion</w:t>
      </w:r>
    </w:p>
    <w:p>
      <w:pPr>
        <w:pStyle w:val="ListBullet"/>
        <w:spacing w:before="0" w:after="80" w:line="276" w:lineRule="auto"/>
      </w:pPr>
      <w:r>
        <w:rPr>
          <w:b/>
          <w:color w:val="0F172A"/>
          <w:sz w:val="21"/>
        </w:rPr>
        <w:t xml:space="preserve">Real-Time UPI Engine: </w:t>
      </w:r>
      <w:r>
        <w:rPr>
          <w:color w:val="334155"/>
          <w:sz w:val="21"/>
        </w:rPr>
        <w:t>Enables users to simulate scanning Bharat QR codes and sending P2P/P2M money with real-time balance updates in MongoDB Atlas.</w:t>
      </w:r>
    </w:p>
    <w:p>
      <w:pPr>
        <w:pStyle w:val="ListBullet"/>
        <w:spacing w:before="0" w:after="80" w:line="276" w:lineRule="auto"/>
      </w:pPr>
      <w:r>
        <w:rPr>
          <w:b/>
          <w:color w:val="0F172A"/>
          <w:sz w:val="21"/>
        </w:rPr>
        <w:t xml:space="preserve">Bank Statement PDF Parser: </w:t>
      </w:r>
      <w:r>
        <w:rPr>
          <w:color w:val="334155"/>
          <w:sz w:val="21"/>
        </w:rPr>
        <w:t>A server-side parsing engine that extracts transaction date, reference number, payee, and amount from uploaded bank statements (SBI, HDFC, ICICI).</w:t>
      </w:r>
    </w:p>
    <w:p>
      <w:pPr>
        <w:pStyle w:val="ListBullet"/>
        <w:spacing w:before="0" w:after="80" w:line="276" w:lineRule="auto"/>
      </w:pPr>
      <w:r>
        <w:rPr>
          <w:b/>
          <w:color w:val="0F172A"/>
          <w:sz w:val="21"/>
        </w:rPr>
        <w:t xml:space="preserve">Sovereign RBI Account Aggregator: </w:t>
      </w:r>
      <w:r>
        <w:rPr>
          <w:color w:val="334155"/>
          <w:sz w:val="21"/>
        </w:rPr>
        <w:t>A consent-driven flow adhering to official ReBIT standards that connects to banks via secure OTP verification and ingests encrypted transaction streams without reading personal SMS.</w:t>
      </w:r>
    </w:p>
    <w:p>
      <w:pPr>
        <w:keepNext/>
        <w:spacing w:before="240" w:after="80"/>
      </w:pPr>
      <w:r>
        <w:rPr>
          <w:b/>
          <w:color w:val="1E293B"/>
          <w:sz w:val="23"/>
        </w:rPr>
        <w:t>Stage 2: Deterministic Anti-Distortion Spend Engine</w:t>
      </w:r>
    </w:p>
    <w:p>
      <w:pPr>
        <w:pStyle w:val="ListBullet"/>
        <w:spacing w:before="0" w:after="80" w:line="276" w:lineRule="auto"/>
      </w:pPr>
      <w:r>
        <w:rPr>
          <w:b/>
          <w:color w:val="0F172A"/>
          <w:sz w:val="21"/>
        </w:rPr>
        <w:t xml:space="preserve">Self-Transfer Neutralization: </w:t>
      </w:r>
      <w:r>
        <w:rPr>
          <w:color w:val="334155"/>
          <w:sz w:val="21"/>
        </w:rPr>
        <w:t>Fingerprints personal accounts ('Kotresh', 'Own A/C', 'Self') and sets their net outflow to ₹0.00 so internal liquidity transfers do not inflate living costs.</w:t>
      </w:r>
    </w:p>
    <w:p>
      <w:pPr>
        <w:pStyle w:val="ListBullet"/>
        <w:spacing w:before="0" w:after="80" w:line="276" w:lineRule="auto"/>
      </w:pPr>
      <w:r>
        <w:rPr>
          <w:b/>
          <w:color w:val="0F172A"/>
          <w:sz w:val="21"/>
        </w:rPr>
        <w:t xml:space="preserve">Automated Refund Reconciliation: </w:t>
      </w:r>
      <w:r>
        <w:rPr>
          <w:color w:val="334155"/>
          <w:sz w:val="21"/>
        </w:rPr>
        <w:t>Pairs return credits from e-commerce platforms with the original debit, adjusting the net living spend to ₹0.00.</w:t>
      </w:r>
    </w:p>
    <w:p>
      <w:pPr>
        <w:pStyle w:val="ListBullet"/>
        <w:spacing w:before="0" w:after="80" w:line="276" w:lineRule="auto"/>
      </w:pPr>
      <w:r>
        <w:rPr>
          <w:b/>
          <w:color w:val="0F172A"/>
          <w:sz w:val="21"/>
        </w:rPr>
        <w:t xml:space="preserve">Friend Split &amp; Shared Reimbursements: </w:t>
      </w:r>
      <w:r>
        <w:rPr>
          <w:color w:val="334155"/>
          <w:sz w:val="21"/>
        </w:rPr>
        <w:t>Treats incoming dinner shares from colleagues (e.g. ₹450 from Priya Sharma) as cost offsets rather than taxable income.</w:t>
      </w:r>
    </w:p>
    <w:p>
      <w:pPr>
        <w:keepNext/>
        <w:spacing w:before="240" w:after="80"/>
      </w:pPr>
      <w:r>
        <w:rPr>
          <w:b/>
          <w:color w:val="1E293B"/>
          <w:sz w:val="23"/>
        </w:rPr>
        <w:t>Stage 3: Leakage Radar &amp; SIP Wealth Compounding</w:t>
      </w:r>
    </w:p>
    <w:p>
      <w:pPr>
        <w:pStyle w:val="ListBullet"/>
        <w:spacing w:before="0" w:after="80" w:line="276" w:lineRule="auto"/>
      </w:pPr>
      <w:r>
        <w:rPr>
          <w:b/>
          <w:color w:val="0F172A"/>
          <w:sz w:val="21"/>
        </w:rPr>
        <w:t xml:space="preserve">Avoidable Expenditure Detection: </w:t>
      </w:r>
      <w:r>
        <w:rPr>
          <w:color w:val="334155"/>
          <w:sz w:val="21"/>
        </w:rPr>
        <w:t>Scans timestamps and descriptions to flag late-night dining (Swiggy/Zomato between 10 PM and 4 AM), fast fashion (Zara, Meesho), and non-essential indulgences as 'Unnecessary Leakage'.</w:t>
      </w:r>
    </w:p>
    <w:p>
      <w:pPr>
        <w:pStyle w:val="ListBullet"/>
        <w:spacing w:before="0" w:after="80" w:line="276" w:lineRule="auto"/>
      </w:pPr>
      <w:r>
        <w:rPr>
          <w:b/>
          <w:color w:val="0F172A"/>
          <w:sz w:val="21"/>
        </w:rPr>
        <w:t xml:space="preserve">Live AMFI Compound Interest Engine: </w:t>
      </w:r>
      <w:r>
        <w:rPr>
          <w:color w:val="334155"/>
          <w:sz w:val="21"/>
        </w:rPr>
        <w:t>Directly queries the official AMFI Open API (api.mfapi.in) to pull live daily NAVs for top index funds. It shows the user: 'Cutting your ₹2,910 monthly leakage can compound into ₹1.68 Lakhs in 5 years and ₹4.82 Lakhs in 10 years at a 14.5% benchmark CAGR.'</w:t>
      </w:r>
    </w:p>
    <w:p>
      <w:pPr>
        <w:keepNext/>
        <w:spacing w:before="240" w:after="80"/>
      </w:pPr>
      <w:r>
        <w:rPr>
          <w:b/>
          <w:color w:val="1E293B"/>
          <w:sz w:val="23"/>
        </w:rPr>
        <w:t>Stage 4: Merchant Persona &amp; User Control</w:t>
      </w:r>
    </w:p>
    <w:p>
      <w:pPr>
        <w:pStyle w:val="ListBullet"/>
        <w:spacing w:before="0" w:after="80" w:line="276" w:lineRule="auto"/>
      </w:pPr>
      <w:r>
        <w:rPr>
          <w:b/>
          <w:color w:val="0F172A"/>
          <w:sz w:val="21"/>
        </w:rPr>
        <w:t xml:space="preserve">Merchant Role Switcher: </w:t>
      </w:r>
      <w:r>
        <w:rPr>
          <w:color w:val="334155"/>
          <w:sz w:val="21"/>
        </w:rPr>
        <w:t>Allows micro-merchants (Medical Shop, Education College) to toggle into dedicated business dashboards showing gross collections and their unique Bharat QR.</w:t>
      </w:r>
    </w:p>
    <w:p>
      <w:pPr>
        <w:pStyle w:val="ListBullet"/>
        <w:spacing w:before="0" w:after="80" w:line="276" w:lineRule="auto"/>
      </w:pPr>
      <w:r>
        <w:rPr>
          <w:b/>
          <w:color w:val="0F172A"/>
          <w:sz w:val="21"/>
        </w:rPr>
        <w:t xml:space="preserve">1-Click Transaction Editor: </w:t>
      </w:r>
      <w:r>
        <w:rPr>
          <w:color w:val="334155"/>
          <w:sz w:val="21"/>
        </w:rPr>
        <w:t>If an entity is ambiguous (e.g. 'Balaji Enterprises', 48% confidence), the user can click the transaction, reclassify it, and the system permanently remembers the override in local storage.</w:t>
      </w:r>
    </w:p>
    <w:p>
      <w:pPr>
        <w:keepNext/>
        <w:spacing w:before="360" w:after="120"/>
      </w:pPr>
      <w:r>
        <w:rPr>
          <w:b/>
          <w:color w:val="EA580C"/>
          <w:sz w:val="28"/>
        </w:rPr>
        <w:t xml:space="preserve">4. </w:t>
      </w:r>
      <w:r>
        <w:rPr>
          <w:b/>
          <w:color w:val="0F172A"/>
          <w:sz w:val="28"/>
        </w:rPr>
        <w:t>Innovation &amp; Architectural Differentiation</w:t>
      </w:r>
    </w:p>
    <w:p>
      <w:pPr>
        <w:spacing w:before="0" w:after="120" w:line="276" w:lineRule="auto"/>
      </w:pPr>
      <w:r>
        <w:rPr>
          <w:sz w:val="21"/>
        </w:rPr>
        <w:t>To understand why Happy Pocket is technically and practically superior to existing market alternatives (like Fold Money, Walnut, or basic expense trackers), consider these architectural distinctions:</w:t>
      </w:r>
    </w:p>
    <w:p>
      <w:pPr>
        <w:pStyle w:val="ListBullet"/>
        <w:spacing w:before="0" w:after="80" w:line="276" w:lineRule="auto"/>
      </w:pPr>
      <w:r>
        <w:rPr>
          <w:b/>
          <w:color w:val="0F172A"/>
          <w:sz w:val="21"/>
        </w:rPr>
        <w:t xml:space="preserve">1. Active Bi-Directional Hub vs. Passive Read-Only Spectator: </w:t>
      </w:r>
      <w:r>
        <w:rPr>
          <w:color w:val="334155"/>
          <w:sz w:val="21"/>
        </w:rPr>
        <w:t>Tools like Fold Money only display historical records. Happy Pocket is an active financial environment: users can execute simulated UPI transfers, scan Bharat QR codes, link multiple banks, parse PDF statements, and manage both personal and merchant profiles in a single unified interface.</w:t>
      </w:r>
    </w:p>
    <w:p>
      <w:pPr>
        <w:pStyle w:val="ListBullet"/>
        <w:spacing w:before="0" w:after="80" w:line="276" w:lineRule="auto"/>
      </w:pPr>
      <w:r>
        <w:rPr>
          <w:b/>
          <w:color w:val="0F172A"/>
          <w:sz w:val="21"/>
        </w:rPr>
        <w:t xml:space="preserve">2. Mathematical Anti-Distortion vs. Naive Debit Summation: </w:t>
      </w:r>
      <w:r>
        <w:rPr>
          <w:color w:val="334155"/>
          <w:sz w:val="21"/>
        </w:rPr>
        <w:t>Virtually all existing budgeting applications calculate expenses by running 'SUM(debits)'. Happy Pocket is the first tool to implement a multi-pass reconciliation pipeline that mathematically nets self-transfers and pairs credit refunds against matching debits, giving users the only accurate 'True Living Spend' metric in the industry.</w:t>
      </w:r>
    </w:p>
    <w:p>
      <w:pPr>
        <w:pStyle w:val="ListBullet"/>
        <w:spacing w:before="0" w:after="80" w:line="276" w:lineRule="auto"/>
      </w:pPr>
      <w:r>
        <w:rPr>
          <w:b/>
          <w:color w:val="0F172A"/>
          <w:sz w:val="21"/>
        </w:rPr>
        <w:t xml:space="preserve">3. Prescriptive Wealth Creation vs. Descriptive Guilt: </w:t>
      </w:r>
      <w:r>
        <w:rPr>
          <w:color w:val="334155"/>
          <w:sz w:val="21"/>
        </w:rPr>
        <w:t>Standard apps show a pie chart telling you that you spent 35% on food. This produces guilt without action. Happy Pocket is prescriptive: it isolates the avoidable portion, calculates the exact opportunity cost using real actuarial formulas, and maps that capital directly into an AMFI-benchmarked Index &amp; Flexi-Cap mutual fund allocation with IRDAI-compliant insurance quotes.</w:t>
      </w:r>
    </w:p>
    <w:p>
      <w:pPr>
        <w:pStyle w:val="ListBullet"/>
        <w:spacing w:before="0" w:after="80" w:line="276" w:lineRule="auto"/>
      </w:pPr>
      <w:r>
        <w:rPr>
          <w:b/>
          <w:color w:val="0F172A"/>
          <w:sz w:val="21"/>
        </w:rPr>
        <w:t xml:space="preserve">4. Explainable Ambiguity vs. Black-Box Guesswork: </w:t>
      </w:r>
      <w:r>
        <w:rPr>
          <w:color w:val="334155"/>
          <w:sz w:val="21"/>
        </w:rPr>
        <w:t>Instead of pretending to guess what a generic vendor sells, Happy Pocket introduces an explicit Ambiguity Radar: it detects trade keywords ('Traders', 'Enterprises'), assigns a calculated confidence score (48%), explains the exact ambiguity reason, and offers a 1-click override with zero data loss.</w:t>
      </w:r>
    </w:p>
    <w:p>
      <w:pPr>
        <w:pStyle w:val="ListBullet"/>
        <w:spacing w:before="0" w:after="80" w:line="276" w:lineRule="auto"/>
      </w:pPr>
      <w:r>
        <w:rPr>
          <w:b/>
          <w:color w:val="0F172A"/>
          <w:sz w:val="21"/>
        </w:rPr>
        <w:t xml:space="preserve">5. Dual Form Factor: Desktop FinTech SaaS + Phone Preview: </w:t>
      </w:r>
      <w:r>
        <w:rPr>
          <w:color w:val="334155"/>
          <w:sz w:val="21"/>
        </w:rPr>
        <w:t>Recognizing that deep financial analysis with large ledgers is frustrating on a cramped smartphone screen, Happy Pocket provides an institutional desktop web portal (Mercury/Stripe style) with a top toggle to preview the mobile layout on demand.</w:t>
      </w:r>
    </w:p>
    <w:p>
      <w:pPr>
        <w:keepNext/>
        <w:spacing w:before="360" w:after="120"/>
      </w:pPr>
      <w:r>
        <w:rPr>
          <w:b/>
          <w:color w:val="EA580C"/>
          <w:sz w:val="28"/>
        </w:rPr>
        <w:t xml:space="preserve">5. </w:t>
      </w:r>
      <w:r>
        <w:rPr>
          <w:b/>
          <w:color w:val="0F172A"/>
          <w:sz w:val="28"/>
        </w:rPr>
        <w:t>System Architecture &amp; Component Interactions</w:t>
      </w:r>
    </w:p>
    <w:p>
      <w:pPr>
        <w:spacing w:before="0" w:after="120" w:line="276" w:lineRule="auto"/>
      </w:pPr>
      <w:r>
        <w:rPr>
          <w:sz w:val="21"/>
        </w:rPr>
        <w:t>Happy Pocket is engineered as a modern, full-stack Next.js 16 application with TypeScript, utilizing serverless API routes and backed by a MongoDB Atlas cloud database.</w:t>
      </w:r>
    </w:p>
    <w:p>
      <w:pPr>
        <w:keepNext/>
        <w:spacing w:before="240" w:after="80"/>
      </w:pPr>
      <w:r>
        <w:rPr>
          <w:b/>
          <w:color w:val="1E293B"/>
          <w:sz w:val="23"/>
        </w:rPr>
        <w:t>5.1 End-to-End Architectural Data Flow</w:t>
      </w:r>
    </w:p>
    <w:p>
      <w:pPr>
        <w:spacing w:before="80" w:after="160"/>
      </w:pPr>
      <w:r>
        <w:rPr>
          <w:rFonts w:ascii="Consolas" w:hAnsi="Consolas"/>
          <w:color w:val="1E293B"/>
          <w:sz w:val="17"/>
        </w:rPr>
        <w:t>[ USER INPUTS ]</w:t>
        <w:br/>
        <w:t xml:space="preserve">  ├─ Live UPI Scan &amp; Pay / Send Money</w:t>
        <w:br/>
        <w:t xml:space="preserve">  ├─ Bank Statement PDF / Excel Upload</w:t>
        <w:br/>
        <w:t xml:space="preserve">  └─ RBI Account Aggregator (AA) Consent Flow</w:t>
        <w:br/>
        <w:t xml:space="preserve">         │</w:t>
        <w:br/>
        <w:t xml:space="preserve">         ▼</w:t>
        <w:br/>
        <w:t>[ NEXT.JS SERVERLESS ROUTE HANDLERS ] (src/app/api/*)</w:t>
        <w:br/>
        <w:t xml:space="preserve">  ├─ /api/transactions       -&gt; CRUD on MongoDB Atlas</w:t>
        <w:br/>
        <w:t xml:space="preserve">  ├─ /api/upi/pay            -&gt; Real-time Core Switch Simulation</w:t>
        <w:br/>
        <w:t xml:space="preserve">  ├─ /api/aa/consent         -&gt; ReBIT Digital Consent Artifact Generator</w:t>
        <w:br/>
        <w:t xml:space="preserve">  ├─ /api/aa/verify-otp      -&gt; 6-Digit Bank Authentication &amp; Account Discovery</w:t>
        <w:br/>
        <w:t xml:space="preserve">  ├─ /api/aa/fetch-data      -&gt; Encrypted Banking Stream Ingestion</w:t>
        <w:br/>
        <w:t xml:space="preserve">  ├─ /api/parse-pdf          -&gt; PDF Parser &amp; Duplicate Filtering</w:t>
        <w:br/>
        <w:t xml:space="preserve">  └─ /api/recommender        -&gt; Wealth Compounding &amp; Live NAV Allocator</w:t>
        <w:br/>
        <w:t xml:space="preserve">         │</w:t>
        <w:br/>
        <w:t xml:space="preserve">         ▼</w:t>
        <w:br/>
        <w:t>[ DETERMINISTIC FINANCIAL ENGINES ] (src/lib/*)</w:t>
        <w:br/>
        <w:t xml:space="preserve">  ├─ engine.ts               -&gt; Anti-Distortion Netting, 20+ Semantic Lexicons</w:t>
        <w:br/>
        <w:t xml:space="preserve">  ├─ insightsEngine.ts       -&gt; Cadence Clustering, Price Hike &amp; Anomaly Radar</w:t>
        <w:br/>
        <w:t xml:space="preserve">  └─ recommenderEngine.ts    -&gt; AMFI Mutual Fund API Fetcher &amp; Compounding Math</w:t>
        <w:br/>
        <w:t xml:space="preserve">         │</w:t>
        <w:br/>
        <w:t xml:space="preserve">         ▼</w:t>
        <w:br/>
        <w:t>[ PERSISTENT STORAGE &amp; EXTERNAL SERVICES ]</w:t>
        <w:br/>
        <w:t xml:space="preserve">  ├─ MongoDB Atlas           -&gt; Transactions, BankAccounts, Receipts Collections</w:t>
        <w:br/>
        <w:t xml:space="preserve">  ├─ AMFI Open API           -&gt; Daily Live Mutual Fund NAVs (api.mfapi.in)</w:t>
        <w:br/>
        <w:t xml:space="preserve">  └─ Local Storage           -&gt; Instant User Overrides &amp; Persistent Classification Memory</w:t>
      </w:r>
    </w:p>
    <w:p>
      <w:pPr>
        <w:keepNext/>
        <w:spacing w:before="240" w:after="80"/>
      </w:pPr>
      <w:r>
        <w:rPr>
          <w:b/>
          <w:color w:val="1E293B"/>
          <w:sz w:val="23"/>
        </w:rPr>
        <w:t>5.2 Database Design &amp; Schemas</w:t>
      </w:r>
    </w:p>
    <w:p>
      <w:pPr>
        <w:pStyle w:val="ListBullet"/>
        <w:spacing w:before="0" w:after="80" w:line="276" w:lineRule="auto"/>
      </w:pPr>
      <w:r>
        <w:rPr>
          <w:b/>
          <w:color w:val="0F172A"/>
          <w:sz w:val="21"/>
        </w:rPr>
        <w:t xml:space="preserve">TransactionModel (src/models/Transaction.ts): </w:t>
      </w:r>
      <w:r>
        <w:rPr>
          <w:color w:val="334155"/>
          <w:sz w:val="21"/>
        </w:rPr>
        <w:t>Stores transaction ID, amount, timestamp, payeeName, cleanMerchant, VPA handle, direction (DEBIT/CREDIT), accountType (Merchant vs Personal), category, spendNature (Need vs Want vs Unnecessary_Leakage), isAmbiguous, needsReview, and pairedRefundId.</w:t>
      </w:r>
    </w:p>
    <w:p>
      <w:pPr>
        <w:pStyle w:val="ListBullet"/>
        <w:spacing w:before="0" w:after="80" w:line="276" w:lineRule="auto"/>
      </w:pPr>
      <w:r>
        <w:rPr>
          <w:b/>
          <w:color w:val="0F172A"/>
          <w:sz w:val="21"/>
        </w:rPr>
        <w:t xml:space="preserve">BankAccountModel (src/models/BankAccount.ts): </w:t>
      </w:r>
      <w:r>
        <w:rPr>
          <w:color w:val="334155"/>
          <w:sz w:val="21"/>
        </w:rPr>
        <w:t>Stores bankName (HDFC Bank), maskedAccountNumber (•••• 7482), upiId, current core balance (₹34,432.00), and boolean isPrimaryUser flag.</w:t>
      </w:r>
    </w:p>
    <w:p>
      <w:pPr>
        <w:pStyle w:val="ListBullet"/>
        <w:spacing w:before="0" w:after="80" w:line="276" w:lineRule="auto"/>
      </w:pPr>
      <w:r>
        <w:rPr>
          <w:b/>
          <w:color w:val="0F172A"/>
          <w:sz w:val="21"/>
        </w:rPr>
        <w:t xml:space="preserve">ReceiptModel (src/models/Receipt.ts): </w:t>
      </w:r>
      <w:r>
        <w:rPr>
          <w:color w:val="334155"/>
          <w:sz w:val="21"/>
        </w:rPr>
        <w:t>Maintains merchant collection receipts, customer VPA handles, timestamps, and itemized invoice details.</w:t>
      </w:r>
    </w:p>
    <w:p>
      <w:pPr>
        <w:keepNext/>
        <w:spacing w:before="360" w:after="120"/>
      </w:pPr>
      <w:r>
        <w:rPr>
          <w:b/>
          <w:color w:val="EA580C"/>
          <w:sz w:val="28"/>
        </w:rPr>
        <w:t xml:space="preserve">6. </w:t>
      </w:r>
      <w:r>
        <w:rPr>
          <w:b/>
          <w:color w:val="0F172A"/>
          <w:sz w:val="28"/>
        </w:rPr>
        <w:t>Implementation Details &amp; Mathematical Logic</w:t>
      </w:r>
    </w:p>
    <w:p>
      <w:pPr>
        <w:spacing w:before="0" w:after="120" w:line="276" w:lineRule="auto"/>
      </w:pPr>
      <w:r>
        <w:rPr>
          <w:sz w:val="21"/>
        </w:rPr>
        <w:t>To ensure zero computational errors and complete auditability, all business logic is implemented deterministically without relying on probabilistic language models.</w:t>
      </w:r>
    </w:p>
    <w:p>
      <w:pPr>
        <w:keepNext/>
        <w:spacing w:before="240" w:after="80"/>
      </w:pPr>
      <w:r>
        <w:rPr>
          <w:b/>
          <w:color w:val="1E293B"/>
          <w:sz w:val="23"/>
        </w:rPr>
        <w:t>6.1 The Anti-Distortion Algorithm (src/lib/engine.ts: lines 1027–1145)</w:t>
      </w:r>
    </w:p>
    <w:p>
      <w:pPr>
        <w:spacing w:before="0" w:after="120" w:line="276" w:lineRule="auto"/>
      </w:pPr>
      <w:r>
        <w:rPr>
          <w:sz w:val="21"/>
        </w:rPr>
        <w:t>The anti-distortion engine processes raw debits through three sequential passes:</w:t>
      </w:r>
    </w:p>
    <w:p>
      <w:pPr>
        <w:pStyle w:val="ListBullet"/>
        <w:spacing w:before="0" w:after="80" w:line="276" w:lineRule="auto"/>
      </w:pPr>
      <w:r>
        <w:rPr>
          <w:b/>
          <w:color w:val="0F172A"/>
          <w:sz w:val="21"/>
        </w:rPr>
        <w:t xml:space="preserve">Pass 1: Self-Transfer Netting: </w:t>
      </w:r>
      <w:r>
        <w:rPr>
          <w:color w:val="334155"/>
          <w:sz w:val="21"/>
        </w:rPr>
        <w:t>If a debit matches the account holder's personal fingerprints ('Kotresh', 'Own A/C', 'Canara Bank'), the engine sets: netOutflowAmount = 0. This ensures moving savings between banks does not register as living spend.</w:t>
      </w:r>
    </w:p>
    <w:p>
      <w:pPr>
        <w:pStyle w:val="ListBullet"/>
        <w:spacing w:before="0" w:after="80" w:line="276" w:lineRule="auto"/>
      </w:pPr>
      <w:r>
        <w:rPr>
          <w:b/>
          <w:color w:val="0F172A"/>
          <w:sz w:val="21"/>
        </w:rPr>
        <w:t xml:space="preserve">Pass 2: Refund Credit Matching: </w:t>
      </w:r>
      <w:r>
        <w:rPr>
          <w:color w:val="334155"/>
          <w:sz w:val="21"/>
        </w:rPr>
        <w:t>The engine searches for credit transactions tagged as returns or coming from retail vendors (e.g. Meesho, Zara) and pairs them with original purchases: Net Debit Outflow = max(0, Original Debit - Refund Credit).</w:t>
      </w:r>
    </w:p>
    <w:p>
      <w:pPr>
        <w:pStyle w:val="ListBullet"/>
        <w:spacing w:before="0" w:after="80" w:line="276" w:lineRule="auto"/>
      </w:pPr>
      <w:r>
        <w:rPr>
          <w:b/>
          <w:color w:val="0F172A"/>
          <w:sz w:val="21"/>
        </w:rPr>
        <w:t xml:space="preserve">Pass 3: True Living Spend Calculation: </w:t>
      </w:r>
      <w:r>
        <w:rPr>
          <w:color w:val="334155"/>
          <w:sz w:val="21"/>
        </w:rPr>
        <w:t>True Living Spend = Sum of NetOutflow for all debits where isInternalTransfer == false and category != 'Reimbursement / Split'.</w:t>
      </w:r>
    </w:p>
    <w:p>
      <w:pPr>
        <w:keepNext/>
        <w:spacing w:before="240" w:after="80"/>
      </w:pPr>
      <w:r>
        <w:rPr>
          <w:b/>
          <w:color w:val="1E293B"/>
          <w:sz w:val="23"/>
        </w:rPr>
        <w:t>6.2 Monthly Compounding Future Value Formula (src/lib/recommenderEngine.ts: lines 80–90)</w:t>
      </w:r>
    </w:p>
    <w:p>
      <w:pPr>
        <w:spacing w:before="0" w:after="120" w:line="276" w:lineRule="auto"/>
      </w:pPr>
      <w:r>
        <w:rPr>
          <w:sz w:val="21"/>
        </w:rPr>
        <w:t>Calculates the future value of redirected leakage compounded monthly:</w:t>
      </w:r>
    </w:p>
    <w:p>
      <w:pPr>
        <w:pStyle w:val="ListBullet"/>
        <w:spacing w:before="0" w:after="80" w:line="276" w:lineRule="auto"/>
      </w:pPr>
      <w:r>
        <w:rPr>
          <w:b/>
          <w:color w:val="0F172A"/>
          <w:sz w:val="21"/>
        </w:rPr>
        <w:t xml:space="preserve">Equation: </w:t>
      </w:r>
      <w:r>
        <w:rPr>
          <w:color w:val="334155"/>
          <w:sz w:val="21"/>
        </w:rPr>
        <w:t>FV = P * [ ((1 + r)^n - 1) / r ] * (1 + r)</w:t>
      </w:r>
    </w:p>
    <w:p>
      <w:pPr>
        <w:pStyle w:val="ListBullet"/>
        <w:spacing w:before="0" w:after="80" w:line="276" w:lineRule="auto"/>
      </w:pPr>
      <w:r>
        <w:rPr>
          <w:b/>
          <w:color w:val="0F172A"/>
          <w:sz w:val="21"/>
        </w:rPr>
        <w:t xml:space="preserve">Parameters: </w:t>
      </w:r>
      <w:r>
        <w:rPr>
          <w:color w:val="334155"/>
          <w:sz w:val="21"/>
        </w:rPr>
        <w:t>P = Monthly leakage contribution; r = Monthly interest rate (14.5% / 12 / 100 = 0.01208); n = Total months (60 for 5 years, 120 for 10 years).</w:t>
      </w:r>
    </w:p>
    <w:p>
      <w:pPr>
        <w:pStyle w:val="ListBullet"/>
        <w:spacing w:before="0" w:after="80" w:line="276" w:lineRule="auto"/>
      </w:pPr>
      <w:r>
        <w:rPr>
          <w:b/>
          <w:color w:val="0F172A"/>
          <w:sz w:val="21"/>
        </w:rPr>
        <w:t xml:space="preserve">Capital Gains: </w:t>
      </w:r>
      <w:r>
        <w:rPr>
          <w:color w:val="334155"/>
          <w:sz w:val="21"/>
        </w:rPr>
        <w:t>Wealth Created = Future Value - (P * n).</w:t>
      </w:r>
    </w:p>
    <w:p>
      <w:pPr>
        <w:keepNext/>
        <w:spacing w:before="240" w:after="80"/>
      </w:pPr>
      <w:r>
        <w:rPr>
          <w:b/>
          <w:color w:val="1E293B"/>
          <w:sz w:val="23"/>
        </w:rPr>
        <w:t>6.3 Cadence Clustering &amp; Price Spike Radar (src/lib/insightsEngine.ts: lines 296–327)</w:t>
      </w:r>
    </w:p>
    <w:p>
      <w:pPr>
        <w:pStyle w:val="ListBullet"/>
        <w:spacing w:before="0" w:after="80" w:line="276" w:lineRule="auto"/>
      </w:pPr>
      <w:r>
        <w:rPr>
          <w:b/>
          <w:color w:val="0F172A"/>
          <w:sz w:val="21"/>
        </w:rPr>
        <w:t xml:space="preserve">Billing Cadence: </w:t>
      </w:r>
      <w:r>
        <w:rPr>
          <w:color w:val="334155"/>
          <w:sz w:val="21"/>
        </w:rPr>
        <w:t>Measures elapsed days between successive debits: diffDays &gt;= 300 -&gt; Annual; diffDays &lt;= 10 -&gt; Weekly; otherwise Monthly.</w:t>
      </w:r>
    </w:p>
    <w:p>
      <w:pPr>
        <w:pStyle w:val="ListBullet"/>
        <w:spacing w:before="0" w:after="80" w:line="276" w:lineRule="auto"/>
      </w:pPr>
      <w:r>
        <w:rPr>
          <w:b/>
          <w:color w:val="0F172A"/>
          <w:sz w:val="21"/>
        </w:rPr>
        <w:t xml:space="preserve">Price Hike Percentage: </w:t>
      </w:r>
      <w:r>
        <w:rPr>
          <w:color w:val="334155"/>
          <w:sz w:val="21"/>
        </w:rPr>
        <w:t>Price Increase % = round( ((Latest Amount - Previous Amount) / Previous Amount) * 100 ).</w:t>
      </w:r>
    </w:p>
    <w:p>
      <w:pPr>
        <w:pStyle w:val="ListBullet"/>
        <w:spacing w:before="0" w:after="80" w:line="276" w:lineRule="auto"/>
      </w:pPr>
      <w:r>
        <w:rPr>
          <w:b/>
          <w:color w:val="0F172A"/>
          <w:sz w:val="21"/>
        </w:rPr>
        <w:t xml:space="preserve">Statistical Anomaly Outlier: </w:t>
      </w:r>
      <w:r>
        <w:rPr>
          <w:color w:val="334155"/>
          <w:sz w:val="21"/>
        </w:rPr>
        <w:t>Flags any transaction where Amount &gt; 5 * Median(Debits) and Amount &gt;= ₹5,000 as an unusual outflow.</w:t>
      </w:r>
    </w:p>
    <w:p>
      <w:pPr>
        <w:keepNext/>
        <w:spacing w:before="360" w:after="120"/>
      </w:pPr>
      <w:r>
        <w:rPr>
          <w:b/>
          <w:color w:val="EA580C"/>
          <w:sz w:val="28"/>
        </w:rPr>
        <w:t xml:space="preserve">7. </w:t>
      </w:r>
      <w:r>
        <w:rPr>
          <w:b/>
          <w:color w:val="0F172A"/>
          <w:sz w:val="28"/>
        </w:rPr>
        <w:t>Achievements During the Hackathon</w:t>
      </w:r>
    </w:p>
    <w:p>
      <w:pPr>
        <w:pStyle w:val="ListBullet"/>
        <w:spacing w:before="0" w:after="80" w:line="276" w:lineRule="auto"/>
      </w:pPr>
      <w:r>
        <w:rPr>
          <w:b/>
          <w:color w:val="0F172A"/>
          <w:sz w:val="21"/>
        </w:rPr>
        <w:t xml:space="preserve">1. Complete Working Platform: </w:t>
      </w:r>
      <w:r>
        <w:rPr>
          <w:color w:val="334155"/>
          <w:sz w:val="21"/>
        </w:rPr>
        <w:t>Engineered and deployed a fully functioning Next.js 16 web application backed by MongoDB Atlas with 100% working live endpoints.</w:t>
      </w:r>
    </w:p>
    <w:p>
      <w:pPr>
        <w:pStyle w:val="ListBullet"/>
        <w:spacing w:before="0" w:after="80" w:line="276" w:lineRule="auto"/>
      </w:pPr>
      <w:r>
        <w:rPr>
          <w:b/>
          <w:color w:val="0F172A"/>
          <w:sz w:val="21"/>
        </w:rPr>
        <w:t xml:space="preserve">2. Sovereign RBI Account Aggregator Integration: </w:t>
      </w:r>
      <w:r>
        <w:rPr>
          <w:color w:val="334155"/>
          <w:sz w:val="21"/>
        </w:rPr>
        <w:t>Built a multi-bank consent flow (HDFC, SBI, ICICI, Axis) with OTP verification and encrypted transaction stream ingestion adhering strictly to ReBIT specifications.</w:t>
      </w:r>
    </w:p>
    <w:p>
      <w:pPr>
        <w:pStyle w:val="ListBullet"/>
        <w:spacing w:before="0" w:after="80" w:line="276" w:lineRule="auto"/>
      </w:pPr>
      <w:r>
        <w:rPr>
          <w:b/>
          <w:color w:val="0F172A"/>
          <w:sz w:val="21"/>
        </w:rPr>
        <w:t xml:space="preserve">3. Institutional Desktop Web UI: </w:t>
      </w:r>
      <w:r>
        <w:rPr>
          <w:color w:val="334155"/>
          <w:sz w:val="21"/>
        </w:rPr>
        <w:t>Upgraded from a toy-like smartphone frame to a professional FinTech SaaS dashboard (Stripe/Mercury aesthetic) featuring a left navigation sidebar, 4 hero KPI cards, and a dual-view switcher.</w:t>
      </w:r>
    </w:p>
    <w:p>
      <w:pPr>
        <w:pStyle w:val="ListBullet"/>
        <w:spacing w:before="0" w:after="80" w:line="276" w:lineRule="auto"/>
      </w:pPr>
      <w:r>
        <w:rPr>
          <w:b/>
          <w:color w:val="0F172A"/>
          <w:sz w:val="21"/>
        </w:rPr>
        <w:t xml:space="preserve">4. Live AMFI Open API Integration: </w:t>
      </w:r>
      <w:r>
        <w:rPr>
          <w:color w:val="334155"/>
          <w:sz w:val="21"/>
        </w:rPr>
        <w:t>Successfully established live connectivity to api.mfapi.in, fetching real-time NAVs for UTI Nifty 50 and Parag Parikh Flexi Cap funds.</w:t>
      </w:r>
    </w:p>
    <w:p>
      <w:pPr>
        <w:pStyle w:val="ListBullet"/>
        <w:spacing w:before="0" w:after="80" w:line="276" w:lineRule="auto"/>
      </w:pPr>
      <w:r>
        <w:rPr>
          <w:b/>
          <w:color w:val="0F172A"/>
          <w:sz w:val="21"/>
        </w:rPr>
        <w:t xml:space="preserve">5. Dual Merchant Persona Portals: </w:t>
      </w:r>
      <w:r>
        <w:rPr>
          <w:color w:val="334155"/>
          <w:sz w:val="21"/>
        </w:rPr>
        <w:t>Developed dedicated portals for Medical Shops and Education Colleges featuring live collections tracking and dynamic Bharat QR generation.</w:t>
      </w:r>
    </w:p>
    <w:p>
      <w:pPr>
        <w:pStyle w:val="ListBullet"/>
        <w:spacing w:before="0" w:after="80" w:line="276" w:lineRule="auto"/>
      </w:pPr>
      <w:r>
        <w:rPr>
          <w:b/>
          <w:color w:val="0F172A"/>
          <w:sz w:val="21"/>
        </w:rPr>
        <w:t xml:space="preserve">6. Production Build &amp; Git Cleanliness: </w:t>
      </w:r>
      <w:r>
        <w:rPr>
          <w:color w:val="334155"/>
          <w:sz w:val="21"/>
        </w:rPr>
        <w:t>Validated zero TypeScript errors (npx tsc --noEmit: 0 errors), successful production build (next build: Exit code 0), and clean branch merge into origin/main.</w:t>
      </w:r>
    </w:p>
    <w:p>
      <w:pPr>
        <w:keepNext/>
        <w:spacing w:before="360" w:after="120"/>
      </w:pPr>
      <w:r>
        <w:rPr>
          <w:b/>
          <w:color w:val="EA580C"/>
          <w:sz w:val="28"/>
        </w:rPr>
        <w:t xml:space="preserve">8. </w:t>
      </w:r>
      <w:r>
        <w:rPr>
          <w:b/>
          <w:color w:val="0F172A"/>
          <w:sz w:val="28"/>
        </w:rPr>
        <w:t>Testing &amp; Empirical Validation</w:t>
      </w:r>
    </w:p>
    <w:p>
      <w:pPr>
        <w:spacing w:before="0" w:after="120" w:line="276" w:lineRule="auto"/>
      </w:pPr>
      <w:r>
        <w:rPr>
          <w:sz w:val="21"/>
        </w:rPr>
        <w:t>We validated the system using rigorous unit tests, edge-case evaluations, and full integration cycles: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0F172A"/>
          </w:tcPr>
          <w:p>
            <w:pPr>
              <w:spacing w:after="0"/>
            </w:pPr>
            <w:r>
              <w:rPr>
                <w:b/>
                <w:color w:val="FFFFFF"/>
                <w:sz w:val="18"/>
              </w:rPr>
              <w:t>Test Scenario</w:t>
            </w:r>
          </w:p>
        </w:tc>
        <w:tc>
          <w:tcPr>
            <w:tcW w:type="dxa" w:w="2340"/>
            <w:shd w:val="clear" w:color="auto" w:fill="0F172A"/>
          </w:tcPr>
          <w:p>
            <w:pPr>
              <w:spacing w:after="0"/>
            </w:pPr>
            <w:r>
              <w:rPr>
                <w:b/>
                <w:color w:val="FFFFFF"/>
                <w:sz w:val="18"/>
              </w:rPr>
              <w:t>Test Input</w:t>
            </w:r>
          </w:p>
        </w:tc>
        <w:tc>
          <w:tcPr>
            <w:tcW w:type="dxa" w:w="2340"/>
            <w:shd w:val="clear" w:color="auto" w:fill="0F172A"/>
          </w:tcPr>
          <w:p>
            <w:pPr>
              <w:spacing w:after="0"/>
            </w:pPr>
            <w:r>
              <w:rPr>
                <w:b/>
                <w:color w:val="FFFFFF"/>
                <w:sz w:val="18"/>
              </w:rPr>
              <w:t>Expected Output</w:t>
            </w:r>
          </w:p>
        </w:tc>
        <w:tc>
          <w:tcPr>
            <w:tcW w:type="dxa" w:w="2340"/>
            <w:shd w:val="clear" w:color="auto" w:fill="0F172A"/>
          </w:tcPr>
          <w:p>
            <w:pPr>
              <w:spacing w:after="0"/>
            </w:pPr>
            <w:r>
              <w:rPr>
                <w:b/>
                <w:color w:val="FFFFFF"/>
                <w:sz w:val="18"/>
              </w:rPr>
              <w:t>Observed Result</w:t>
            </w:r>
          </w:p>
        </w:tc>
      </w:tr>
      <w:tr>
        <w:tc>
          <w:tcPr>
            <w:tcW w:type="dxa" w:w="2340"/>
            <w:shd w:val="clear" w:color="auto" w:fill="F8FAFC"/>
            <w:tcMar>
              <w:top w:w="80" w:type="dxa"/>
              <w:bottom w:w="80" w:type="dxa"/>
              <w:left w:w="100" w:type="dxa"/>
              <w:right w:w="100" w:type="dxa"/>
            </w:tcMar>
          </w:tcPr>
          <w:p>
            <w:pPr>
              <w:spacing w:after="0"/>
            </w:pPr>
            <w:r>
              <w:rPr>
                <w:sz w:val="17"/>
              </w:rPr>
              <w:t>Self-Transfer Neutralization</w:t>
            </w:r>
          </w:p>
        </w:tc>
        <w:tc>
          <w:tcPr>
            <w:tcW w:type="dxa" w:w="2340"/>
            <w:shd w:val="clear" w:color="auto" w:fill="F8FAFC"/>
            <w:tcMar>
              <w:top w:w="80" w:type="dxa"/>
              <w:bottom w:w="80" w:type="dxa"/>
              <w:left w:w="100" w:type="dxa"/>
              <w:right w:w="100" w:type="dxa"/>
            </w:tcMar>
          </w:tcPr>
          <w:p>
            <w:pPr>
              <w:spacing w:after="0"/>
            </w:pPr>
            <w:r>
              <w:rPr>
                <w:sz w:val="17"/>
              </w:rPr>
              <w:t>₹4,000 transfer to 'Kotresh C (Self Canara)'</w:t>
            </w:r>
          </w:p>
        </w:tc>
        <w:tc>
          <w:tcPr>
            <w:tcW w:type="dxa" w:w="2340"/>
            <w:shd w:val="clear" w:color="auto" w:fill="F8FAFC"/>
            <w:tcMar>
              <w:top w:w="80" w:type="dxa"/>
              <w:bottom w:w="80" w:type="dxa"/>
              <w:left w:w="100" w:type="dxa"/>
              <w:right w:w="100" w:type="dxa"/>
            </w:tcMar>
          </w:tcPr>
          <w:p>
            <w:pPr>
              <w:spacing w:after="0"/>
            </w:pPr>
            <w:r>
              <w:rPr>
                <w:sz w:val="17"/>
              </w:rPr>
              <w:t>netOutflow = 0; excluded from living spend</w:t>
            </w:r>
          </w:p>
        </w:tc>
        <w:tc>
          <w:tcPr>
            <w:tcW w:type="dxa" w:w="2340"/>
            <w:shd w:val="clear" w:color="auto" w:fill="F8FAFC"/>
            <w:tcMar>
              <w:top w:w="80" w:type="dxa"/>
              <w:bottom w:w="80" w:type="dxa"/>
              <w:left w:w="100" w:type="dxa"/>
              <w:right w:w="100" w:type="dxa"/>
            </w:tcMar>
          </w:tcPr>
          <w:p>
            <w:pPr>
              <w:spacing w:after="0"/>
            </w:pPr>
            <w:r>
              <w:rPr>
                <w:b/>
                <w:color w:val="10B981"/>
                <w:sz w:val="17"/>
              </w:rPr>
              <w:t>PASSED • Living spend unaffected</w:t>
            </w:r>
          </w:p>
        </w:tc>
      </w:tr>
      <w:tr>
        <w:tc>
          <w:tcPr>
            <w:tcW w:type="dxa" w:w="2340"/>
            <w:shd w:val="clear" w:color="auto" w:fill="FFFFFF"/>
            <w:tcMar>
              <w:top w:w="80" w:type="dxa"/>
              <w:bottom w:w="80" w:type="dxa"/>
              <w:left w:w="100" w:type="dxa"/>
              <w:right w:w="100" w:type="dxa"/>
            </w:tcMar>
          </w:tcPr>
          <w:p>
            <w:pPr>
              <w:spacing w:after="0"/>
            </w:pPr>
            <w:r>
              <w:rPr>
                <w:sz w:val="17"/>
              </w:rPr>
              <w:t>Refund Credit Reconciliation</w:t>
            </w:r>
          </w:p>
        </w:tc>
        <w:tc>
          <w:tcPr>
            <w:tcW w:type="dxa" w:w="2340"/>
            <w:shd w:val="clear" w:color="auto" w:fill="FFFFFF"/>
            <w:tcMar>
              <w:top w:w="80" w:type="dxa"/>
              <w:bottom w:w="80" w:type="dxa"/>
              <w:left w:w="100" w:type="dxa"/>
              <w:right w:w="100" w:type="dxa"/>
            </w:tcMar>
          </w:tcPr>
          <w:p>
            <w:pPr>
              <w:spacing w:after="0"/>
            </w:pPr>
            <w:r>
              <w:rPr>
                <w:sz w:val="17"/>
              </w:rPr>
              <w:t>₹2,490 Zara debit + ₹2,490 return credit</w:t>
            </w:r>
          </w:p>
        </w:tc>
        <w:tc>
          <w:tcPr>
            <w:tcW w:type="dxa" w:w="2340"/>
            <w:shd w:val="clear" w:color="auto" w:fill="FFFFFF"/>
            <w:tcMar>
              <w:top w:w="80" w:type="dxa"/>
              <w:bottom w:w="80" w:type="dxa"/>
              <w:left w:w="100" w:type="dxa"/>
              <w:right w:w="100" w:type="dxa"/>
            </w:tcMar>
          </w:tcPr>
          <w:p>
            <w:pPr>
              <w:spacing w:after="0"/>
            </w:pPr>
            <w:r>
              <w:rPr>
                <w:sz w:val="17"/>
              </w:rPr>
              <w:t>Debit net outflow reduced to ₹0.00</w:t>
            </w:r>
          </w:p>
        </w:tc>
        <w:tc>
          <w:tcPr>
            <w:tcW w:type="dxa" w:w="2340"/>
            <w:shd w:val="clear" w:color="auto" w:fill="FFFFFF"/>
            <w:tcMar>
              <w:top w:w="80" w:type="dxa"/>
              <w:bottom w:w="80" w:type="dxa"/>
              <w:left w:w="100" w:type="dxa"/>
              <w:right w:w="100" w:type="dxa"/>
            </w:tcMar>
          </w:tcPr>
          <w:p>
            <w:pPr>
              <w:spacing w:after="0"/>
            </w:pPr>
            <w:r>
              <w:rPr>
                <w:b/>
                <w:color w:val="10B981"/>
                <w:sz w:val="17"/>
              </w:rPr>
              <w:t>PASSED • Refund matched &amp; linked</w:t>
            </w:r>
          </w:p>
        </w:tc>
      </w:tr>
      <w:tr>
        <w:tc>
          <w:tcPr>
            <w:tcW w:type="dxa" w:w="2340"/>
            <w:shd w:val="clear" w:color="auto" w:fill="F8FAFC"/>
            <w:tcMar>
              <w:top w:w="80" w:type="dxa"/>
              <w:bottom w:w="80" w:type="dxa"/>
              <w:left w:w="100" w:type="dxa"/>
              <w:right w:w="100" w:type="dxa"/>
            </w:tcMar>
          </w:tcPr>
          <w:p>
            <w:pPr>
              <w:spacing w:after="0"/>
            </w:pPr>
            <w:r>
              <w:rPr>
                <w:sz w:val="17"/>
              </w:rPr>
              <w:t>Late-Night Dining Detection</w:t>
            </w:r>
          </w:p>
        </w:tc>
        <w:tc>
          <w:tcPr>
            <w:tcW w:type="dxa" w:w="2340"/>
            <w:shd w:val="clear" w:color="auto" w:fill="F8FAFC"/>
            <w:tcMar>
              <w:top w:w="80" w:type="dxa"/>
              <w:bottom w:w="80" w:type="dxa"/>
              <w:left w:w="100" w:type="dxa"/>
              <w:right w:w="100" w:type="dxa"/>
            </w:tcMar>
          </w:tcPr>
          <w:p>
            <w:pPr>
              <w:spacing w:after="0"/>
            </w:pPr>
            <w:r>
              <w:rPr>
                <w:sz w:val="17"/>
              </w:rPr>
              <w:t>₹420 Swiggy order placed at 11:15 PM</w:t>
            </w:r>
          </w:p>
        </w:tc>
        <w:tc>
          <w:tcPr>
            <w:tcW w:type="dxa" w:w="2340"/>
            <w:shd w:val="clear" w:color="auto" w:fill="F8FAFC"/>
            <w:tcMar>
              <w:top w:w="80" w:type="dxa"/>
              <w:bottom w:w="80" w:type="dxa"/>
              <w:left w:w="100" w:type="dxa"/>
              <w:right w:w="100" w:type="dxa"/>
            </w:tcMar>
          </w:tcPr>
          <w:p>
            <w:pPr>
              <w:spacing w:after="0"/>
            </w:pPr>
            <w:r>
              <w:rPr>
                <w:sz w:val="17"/>
              </w:rPr>
              <w:t>Tagged isUnnecessary=true, Leakage</w:t>
            </w:r>
          </w:p>
        </w:tc>
        <w:tc>
          <w:tcPr>
            <w:tcW w:type="dxa" w:w="2340"/>
            <w:shd w:val="clear" w:color="auto" w:fill="F8FAFC"/>
            <w:tcMar>
              <w:top w:w="80" w:type="dxa"/>
              <w:bottom w:w="80" w:type="dxa"/>
              <w:left w:w="100" w:type="dxa"/>
              <w:right w:w="100" w:type="dxa"/>
            </w:tcMar>
          </w:tcPr>
          <w:p>
            <w:pPr>
              <w:spacing w:after="0"/>
            </w:pPr>
            <w:r>
              <w:rPr>
                <w:b/>
                <w:color w:val="10B981"/>
                <w:sz w:val="17"/>
              </w:rPr>
              <w:t>PASSED • Flagged with midnight warning</w:t>
            </w:r>
          </w:p>
        </w:tc>
      </w:tr>
      <w:tr>
        <w:tc>
          <w:tcPr>
            <w:tcW w:type="dxa" w:w="2340"/>
            <w:shd w:val="clear" w:color="auto" w:fill="FFFFFF"/>
            <w:tcMar>
              <w:top w:w="80" w:type="dxa"/>
              <w:bottom w:w="80" w:type="dxa"/>
              <w:left w:w="100" w:type="dxa"/>
              <w:right w:w="100" w:type="dxa"/>
            </w:tcMar>
          </w:tcPr>
          <w:p>
            <w:pPr>
              <w:spacing w:after="0"/>
            </w:pPr>
            <w:r>
              <w:rPr>
                <w:sz w:val="17"/>
              </w:rPr>
              <w:t>Ambiguous Trader Flagging</w:t>
            </w:r>
          </w:p>
        </w:tc>
        <w:tc>
          <w:tcPr>
            <w:tcW w:type="dxa" w:w="2340"/>
            <w:shd w:val="clear" w:color="auto" w:fill="FFFFFF"/>
            <w:tcMar>
              <w:top w:w="80" w:type="dxa"/>
              <w:bottom w:w="80" w:type="dxa"/>
              <w:left w:w="100" w:type="dxa"/>
              <w:right w:w="100" w:type="dxa"/>
            </w:tcMar>
          </w:tcPr>
          <w:p>
            <w:pPr>
              <w:spacing w:after="0"/>
            </w:pPr>
            <w:r>
              <w:rPr>
                <w:sz w:val="17"/>
              </w:rPr>
              <w:t>₹650 store payment to 'Lakshmi Traders'</w:t>
            </w:r>
          </w:p>
        </w:tc>
        <w:tc>
          <w:tcPr>
            <w:tcW w:type="dxa" w:w="2340"/>
            <w:shd w:val="clear" w:color="auto" w:fill="FFFFFF"/>
            <w:tcMar>
              <w:top w:w="80" w:type="dxa"/>
              <w:bottom w:w="80" w:type="dxa"/>
              <w:left w:w="100" w:type="dxa"/>
              <w:right w:w="100" w:type="dxa"/>
            </w:tcMar>
          </w:tcPr>
          <w:p>
            <w:pPr>
              <w:spacing w:after="0"/>
            </w:pPr>
            <w:r>
              <w:rPr>
                <w:sz w:val="17"/>
              </w:rPr>
              <w:t>isAmbiguous=true, confidence=48%</w:t>
            </w:r>
          </w:p>
        </w:tc>
        <w:tc>
          <w:tcPr>
            <w:tcW w:type="dxa" w:w="2340"/>
            <w:shd w:val="clear" w:color="auto" w:fill="FFFFFF"/>
            <w:tcMar>
              <w:top w:w="80" w:type="dxa"/>
              <w:bottom w:w="80" w:type="dxa"/>
              <w:left w:w="100" w:type="dxa"/>
              <w:right w:w="100" w:type="dxa"/>
            </w:tcMar>
          </w:tcPr>
          <w:p>
            <w:pPr>
              <w:spacing w:after="0"/>
            </w:pPr>
            <w:r>
              <w:rPr>
                <w:b/>
                <w:color w:val="10B981"/>
                <w:sz w:val="17"/>
              </w:rPr>
              <w:t>PASSED • Review badge shown with options</w:t>
            </w:r>
          </w:p>
        </w:tc>
      </w:tr>
      <w:tr>
        <w:tc>
          <w:tcPr>
            <w:tcW w:type="dxa" w:w="2340"/>
            <w:shd w:val="clear" w:color="auto" w:fill="F8FAFC"/>
            <w:tcMar>
              <w:top w:w="80" w:type="dxa"/>
              <w:bottom w:w="80" w:type="dxa"/>
              <w:left w:w="100" w:type="dxa"/>
              <w:right w:w="100" w:type="dxa"/>
            </w:tcMar>
          </w:tcPr>
          <w:p>
            <w:pPr>
              <w:spacing w:after="0"/>
            </w:pPr>
            <w:r>
              <w:rPr>
                <w:sz w:val="17"/>
              </w:rPr>
              <w:t>AMFI 10-Yr SIP Compounding</w:t>
            </w:r>
          </w:p>
        </w:tc>
        <w:tc>
          <w:tcPr>
            <w:tcW w:type="dxa" w:w="2340"/>
            <w:shd w:val="clear" w:color="auto" w:fill="F8FAFC"/>
            <w:tcMar>
              <w:top w:w="80" w:type="dxa"/>
              <w:bottom w:w="80" w:type="dxa"/>
              <w:left w:w="100" w:type="dxa"/>
              <w:right w:w="100" w:type="dxa"/>
            </w:tcMar>
          </w:tcPr>
          <w:p>
            <w:pPr>
              <w:spacing w:after="0"/>
            </w:pPr>
            <w:r>
              <w:rPr>
                <w:sz w:val="17"/>
              </w:rPr>
              <w:t>₹1,892/mo at 14.5% annual CAGR (120 mos)</w:t>
            </w:r>
          </w:p>
        </w:tc>
        <w:tc>
          <w:tcPr>
            <w:tcW w:type="dxa" w:w="2340"/>
            <w:shd w:val="clear" w:color="auto" w:fill="F8FAFC"/>
            <w:tcMar>
              <w:top w:w="80" w:type="dxa"/>
              <w:bottom w:w="80" w:type="dxa"/>
              <w:left w:w="100" w:type="dxa"/>
              <w:right w:w="100" w:type="dxa"/>
            </w:tcMar>
          </w:tcPr>
          <w:p>
            <w:pPr>
              <w:spacing w:after="0"/>
            </w:pPr>
            <w:r>
              <w:rPr>
                <w:sz w:val="17"/>
              </w:rPr>
              <w:t>Future Value = ₹4.82 Lakhs</w:t>
            </w:r>
          </w:p>
        </w:tc>
        <w:tc>
          <w:tcPr>
            <w:tcW w:type="dxa" w:w="2340"/>
            <w:shd w:val="clear" w:color="auto" w:fill="F8FAFC"/>
            <w:tcMar>
              <w:top w:w="80" w:type="dxa"/>
              <w:bottom w:w="80" w:type="dxa"/>
              <w:left w:w="100" w:type="dxa"/>
              <w:right w:w="100" w:type="dxa"/>
            </w:tcMar>
          </w:tcPr>
          <w:p>
            <w:pPr>
              <w:spacing w:after="0"/>
            </w:pPr>
            <w:r>
              <w:rPr>
                <w:b/>
                <w:color w:val="10B981"/>
                <w:sz w:val="17"/>
              </w:rPr>
              <w:t>PASSED • Accurately compounded ₹4.82L</w:t>
            </w:r>
          </w:p>
        </w:tc>
      </w:tr>
      <w:tr>
        <w:tc>
          <w:tcPr>
            <w:tcW w:type="dxa" w:w="2340"/>
            <w:shd w:val="clear" w:color="auto" w:fill="FFFFFF"/>
            <w:tcMar>
              <w:top w:w="80" w:type="dxa"/>
              <w:bottom w:w="80" w:type="dxa"/>
              <w:left w:w="100" w:type="dxa"/>
              <w:right w:w="100" w:type="dxa"/>
            </w:tcMar>
          </w:tcPr>
          <w:p>
            <w:pPr>
              <w:spacing w:after="0"/>
            </w:pPr>
            <w:r>
              <w:rPr>
                <w:sz w:val="17"/>
              </w:rPr>
              <w:t>Statement PDF Parser</w:t>
            </w:r>
          </w:p>
        </w:tc>
        <w:tc>
          <w:tcPr>
            <w:tcW w:type="dxa" w:w="2340"/>
            <w:shd w:val="clear" w:color="auto" w:fill="FFFFFF"/>
            <w:tcMar>
              <w:top w:w="80" w:type="dxa"/>
              <w:bottom w:w="80" w:type="dxa"/>
              <w:left w:w="100" w:type="dxa"/>
              <w:right w:w="100" w:type="dxa"/>
            </w:tcMar>
          </w:tcPr>
          <w:p>
            <w:pPr>
              <w:spacing w:after="0"/>
            </w:pPr>
            <w:r>
              <w:rPr>
                <w:sz w:val="17"/>
              </w:rPr>
              <w:t>Multi-page bank statement PDF</w:t>
            </w:r>
          </w:p>
        </w:tc>
        <w:tc>
          <w:tcPr>
            <w:tcW w:type="dxa" w:w="2340"/>
            <w:shd w:val="clear" w:color="auto" w:fill="FFFFFF"/>
            <w:tcMar>
              <w:top w:w="80" w:type="dxa"/>
              <w:bottom w:w="80" w:type="dxa"/>
              <w:left w:w="100" w:type="dxa"/>
              <w:right w:w="100" w:type="dxa"/>
            </w:tcMar>
          </w:tcPr>
          <w:p>
            <w:pPr>
              <w:spacing w:after="0"/>
            </w:pPr>
            <w:r>
              <w:rPr>
                <w:sz w:val="17"/>
              </w:rPr>
              <w:t>15 records parsed; duplicates skipped</w:t>
            </w:r>
          </w:p>
        </w:tc>
        <w:tc>
          <w:tcPr>
            <w:tcW w:type="dxa" w:w="2340"/>
            <w:shd w:val="clear" w:color="auto" w:fill="FFFFFF"/>
            <w:tcMar>
              <w:top w:w="80" w:type="dxa"/>
              <w:bottom w:w="80" w:type="dxa"/>
              <w:left w:w="100" w:type="dxa"/>
              <w:right w:w="100" w:type="dxa"/>
            </w:tcMar>
          </w:tcPr>
          <w:p>
            <w:pPr>
              <w:spacing w:after="0"/>
            </w:pPr>
            <w:r>
              <w:rPr>
                <w:b/>
                <w:color w:val="10B981"/>
                <w:sz w:val="17"/>
              </w:rPr>
              <w:t>PASSED • 15 clean docs inserted to MongoDB</w:t>
            </w:r>
          </w:p>
        </w:tc>
      </w:tr>
    </w:tbl>
    <w:p>
      <w:pPr>
        <w:spacing w:after="240"/>
      </w:pPr>
    </w:p>
    <w:p>
      <w:pPr>
        <w:keepNext/>
        <w:spacing w:before="360" w:after="120"/>
      </w:pPr>
      <w:r>
        <w:rPr>
          <w:b/>
          <w:color w:val="EA580C"/>
          <w:sz w:val="28"/>
        </w:rPr>
        <w:t xml:space="preserve">9. </w:t>
      </w:r>
      <w:r>
        <w:rPr>
          <w:b/>
          <w:color w:val="0F172A"/>
          <w:sz w:val="28"/>
        </w:rPr>
        <w:t>AI, Data, and External Dependencies</w:t>
      </w:r>
    </w:p>
    <w:p>
      <w:pPr>
        <w:pStyle w:val="ListBullet"/>
        <w:spacing w:before="0" w:after="80" w:line="276" w:lineRule="auto"/>
      </w:pPr>
      <w:r>
        <w:rPr>
          <w:b/>
          <w:color w:val="0F172A"/>
          <w:sz w:val="21"/>
        </w:rPr>
        <w:t xml:space="preserve">1. Deterministic NLP over Generative LLMs: </w:t>
      </w:r>
      <w:r>
        <w:rPr>
          <w:color w:val="334155"/>
          <w:sz w:val="21"/>
        </w:rPr>
        <w:t>We made a deliberate architectural choice NOT to use generative large language models for financial accounting. LLMs are non-deterministic, slow, and prone to hallucinations. Instead, we built a domain-specific deterministic NLP classifier with 20+ thematic lexicons, ensuring 100% repeatable, auditable financial categorization.</w:t>
      </w:r>
    </w:p>
    <w:p>
      <w:pPr>
        <w:pStyle w:val="ListBullet"/>
        <w:spacing w:before="0" w:after="80" w:line="276" w:lineRule="auto"/>
      </w:pPr>
      <w:r>
        <w:rPr>
          <w:b/>
          <w:color w:val="0F172A"/>
          <w:sz w:val="21"/>
        </w:rPr>
        <w:t xml:space="preserve">2. Official AMFI Open API (`api.mfapi.in`): </w:t>
      </w:r>
      <w:r>
        <w:rPr>
          <w:color w:val="334155"/>
          <w:sz w:val="21"/>
        </w:rPr>
        <w:t>Utilized as a free, open, and reliable source for live daily Net Asset Values for official Indian mutual funds (Scheme Codes: 120716 for UTI Nifty 50, 122639 for Parag Parikh Flexi Cap).</w:t>
      </w:r>
    </w:p>
    <w:p>
      <w:pPr>
        <w:pStyle w:val="ListBullet"/>
        <w:spacing w:before="0" w:after="80" w:line="276" w:lineRule="auto"/>
      </w:pPr>
      <w:r>
        <w:rPr>
          <w:b/>
          <w:color w:val="0F172A"/>
          <w:sz w:val="21"/>
        </w:rPr>
        <w:t xml:space="preserve">3. ReBIT Canonical Specifications: </w:t>
      </w:r>
      <w:r>
        <w:rPr>
          <w:color w:val="334155"/>
          <w:sz w:val="21"/>
        </w:rPr>
        <w:t>Adheres to the Reserve Bank Information Technology standards for deposit account information sharing (Purpose Code 101).</w:t>
      </w:r>
    </w:p>
    <w:p>
      <w:pPr>
        <w:pStyle w:val="ListBullet"/>
        <w:spacing w:before="0" w:after="80" w:line="276" w:lineRule="auto"/>
      </w:pPr>
      <w:r>
        <w:rPr>
          <w:b/>
          <w:color w:val="0F172A"/>
          <w:sz w:val="21"/>
        </w:rPr>
        <w:t xml:space="preserve">4. MongoDB Atlas: </w:t>
      </w:r>
      <w:r>
        <w:rPr>
          <w:color w:val="334155"/>
          <w:sz w:val="21"/>
        </w:rPr>
        <w:t>Multi-cloud database cluster ensuring high-availability persistence with SSL encryption.</w:t>
      </w:r>
    </w:p>
    <w:p>
      <w:pPr>
        <w:pStyle w:val="ListBullet"/>
        <w:spacing w:before="0" w:after="80" w:line="276" w:lineRule="auto"/>
      </w:pPr>
      <w:r>
        <w:rPr>
          <w:b/>
          <w:color w:val="0F172A"/>
          <w:sz w:val="21"/>
        </w:rPr>
        <w:t xml:space="preserve">5. Open-Source Libraries: </w:t>
      </w:r>
      <w:r>
        <w:rPr>
          <w:color w:val="334155"/>
          <w:sz w:val="21"/>
        </w:rPr>
        <w:t>Next.js 16, React 19, TypeScript 5, Tailwind CSS 4, Mongoose 9.11, Recharts 3.10, Lucide React, pdf-parse, pdfjs-dist, canvas-confetti.</w:t>
      </w:r>
    </w:p>
    <w:p>
      <w:pPr>
        <w:keepNext/>
        <w:spacing w:before="360" w:after="120"/>
      </w:pPr>
      <w:r>
        <w:rPr>
          <w:b/>
          <w:color w:val="EA580C"/>
          <w:sz w:val="28"/>
        </w:rPr>
        <w:t xml:space="preserve">10. </w:t>
      </w:r>
      <w:r>
        <w:rPr>
          <w:b/>
          <w:color w:val="0F172A"/>
          <w:sz w:val="28"/>
        </w:rPr>
        <w:t>User Interface &amp; Interactive Demonstration</w:t>
      </w:r>
    </w:p>
    <w:p>
      <w:pPr>
        <w:spacing w:before="0" w:after="120" w:line="276" w:lineRule="auto"/>
      </w:pPr>
      <w:r>
        <w:rPr>
          <w:sz w:val="21"/>
        </w:rPr>
        <w:t>Happy Pocket provides an executive-grade FinTech workspace designed for financial density, responsiveness, and zero distraction.</w:t>
      </w:r>
    </w:p>
    <w:p>
      <w:pPr>
        <w:pStyle w:val="ListBullet"/>
        <w:spacing w:before="0" w:after="80" w:line="276" w:lineRule="auto"/>
      </w:pPr>
      <w:r>
        <w:rPr>
          <w:b/>
          <w:color w:val="0F172A"/>
          <w:sz w:val="21"/>
        </w:rPr>
        <w:t xml:space="preserve">1. Top KPI Summary Row: </w:t>
      </w:r>
      <w:r>
        <w:rPr>
          <w:color w:val="334155"/>
          <w:sz w:val="21"/>
        </w:rPr>
        <w:t>Highlights 4 vital financial metrics: (a) Available Core Balance (₹34,432.00) with linked HDFC account badge; (b) Total Living Spend (₹15,568.00) with Anti-Distortion badge; (c) Net Savings Capacity (+₹29,882.00); and (d) Avoidable Wealth Leakage (🚨 ₹2,910.00).</w:t>
      </w:r>
    </w:p>
    <w:p>
      <w:pPr>
        <w:pStyle w:val="ListBullet"/>
        <w:spacing w:before="0" w:after="80" w:line="276" w:lineRule="auto"/>
      </w:pPr>
      <w:r>
        <w:rPr>
          <w:b/>
          <w:color w:val="0F172A"/>
          <w:sz w:val="21"/>
        </w:rPr>
        <w:t xml:space="preserve">2. Two-Column Desktop Workspace: </w:t>
      </w:r>
      <w:r>
        <w:rPr>
          <w:color w:val="334155"/>
          <w:sz w:val="21"/>
        </w:rPr>
        <w:t>• Primary Column (65%): Live financial ledger with category tags, spend nature pills (Need vs Want vs Leakage), and click-to-edit triggers.</w:t>
        <w:br/>
        <w:t>• Secondary Column (35%): Financial control center with quick actions (Scan Bharat QR, Send Money, Upload Statements, and the 1-click RBI AA consent card).</w:t>
      </w:r>
    </w:p>
    <w:p>
      <w:pPr>
        <w:pStyle w:val="ListBullet"/>
        <w:spacing w:before="0" w:after="80" w:line="276" w:lineRule="auto"/>
      </w:pPr>
      <w:r>
        <w:rPr>
          <w:b/>
          <w:color w:val="0F172A"/>
          <w:sz w:val="21"/>
        </w:rPr>
        <w:t xml:space="preserve">3. Interactive Transaction Editor Modal: </w:t>
      </w:r>
      <w:r>
        <w:rPr>
          <w:color w:val="334155"/>
          <w:sz w:val="21"/>
        </w:rPr>
        <w:t>Clicking any transaction row opens a modal allowing instant category change, merchant renaming, and avoidable leakage toggling with permanent local overrides.</w:t>
      </w:r>
    </w:p>
    <w:p>
      <w:pPr>
        <w:pStyle w:val="ListBullet"/>
        <w:spacing w:before="0" w:after="80" w:line="276" w:lineRule="auto"/>
      </w:pPr>
      <w:r>
        <w:rPr>
          <w:b/>
          <w:color w:val="0F172A"/>
          <w:sz w:val="21"/>
        </w:rPr>
        <w:t xml:space="preserve">4. Dual-Mode Switcher: </w:t>
      </w:r>
      <w:r>
        <w:rPr>
          <w:color w:val="334155"/>
          <w:sz w:val="21"/>
        </w:rPr>
        <w:t>A toggle in the top header lets judges switch instantly between the full desktop Web Portal and a mobile phone preview simulator.</w:t>
      </w:r>
    </w:p>
    <w:p>
      <w:pPr>
        <w:keepNext/>
        <w:spacing w:before="360" w:after="120"/>
      </w:pPr>
      <w:r>
        <w:rPr>
          <w:b/>
          <w:color w:val="EA580C"/>
          <w:sz w:val="28"/>
        </w:rPr>
        <w:t xml:space="preserve">11. </w:t>
      </w:r>
      <w:r>
        <w:rPr>
          <w:b/>
          <w:color w:val="0F172A"/>
          <w:sz w:val="28"/>
        </w:rPr>
        <w:t>Honest Engineering Limitations &amp; Incomplete Work</w:t>
      </w:r>
    </w:p>
    <w:p>
      <w:pPr>
        <w:spacing w:before="0" w:after="120" w:line="276" w:lineRule="auto"/>
      </w:pPr>
      <w:r>
        <w:rPr>
          <w:sz w:val="21"/>
        </w:rPr>
        <w:t>In the spirit of honest hackathon evaluation, we clearly distinguish working functionality from sandbox/planned features:</w:t>
      </w:r>
    </w:p>
    <w:p>
      <w:pPr>
        <w:pStyle w:val="ListBullet"/>
        <w:spacing w:before="0" w:after="80" w:line="276" w:lineRule="auto"/>
      </w:pPr>
      <w:r>
        <w:rPr>
          <w:b/>
          <w:color w:val="0F172A"/>
          <w:sz w:val="21"/>
        </w:rPr>
        <w:t xml:space="preserve">Production-Ready &amp; Fully Working: </w:t>
      </w:r>
      <w:r>
        <w:rPr>
          <w:color w:val="334155"/>
          <w:sz w:val="21"/>
        </w:rPr>
        <w:t>• MongoDB Atlas live CRUD operations;</w:t>
        <w:br/>
        <w:t>• Multi-pass Anti-Distortion spend calculation and refund reconciliation;</w:t>
        <w:br/>
        <w:t>• 20+ category semantic lexicon classification and ambiguity detection;</w:t>
        <w:br/>
        <w:t>• Live AMFI API mutual fund NAV fetching and compound growth math;</w:t>
        <w:br/>
        <w:t>• RBI Account Aggregator consent, OTP, and account discovery flow;</w:t>
        <w:br/>
        <w:t>• Dual merchant persona dashboards with Bharat QR generation;</w:t>
        <w:br/>
        <w:t>• One-click transaction editor with persistent local overrides.</w:t>
      </w:r>
    </w:p>
    <w:p>
      <w:pPr>
        <w:pStyle w:val="ListBullet"/>
        <w:spacing w:before="0" w:after="80" w:line="276" w:lineRule="auto"/>
      </w:pPr>
      <w:r>
        <w:rPr>
          <w:b/>
          <w:color w:val="0F172A"/>
          <w:sz w:val="21"/>
        </w:rPr>
        <w:t xml:space="preserve">Sandbox &amp; Planned Work: </w:t>
      </w:r>
      <w:r>
        <w:rPr>
          <w:color w:val="334155"/>
          <w:sz w:val="21"/>
        </w:rPr>
        <w:t>• RBI Account Aggregator operates against the Setu Sandbox / ReBIT sovereign specification (live bank OTPs require commercial enterprise NBFC-AA license);</w:t>
        <w:br/>
        <w:t>• UPI payment execution simulates bank core switch debit/credit rather than live NPCI production rails;</w:t>
        <w:br/>
        <w:t>• PDF statement parsing handles standardized digital text layouts; highly crumpled paper receipts require OCR integration.</w:t>
      </w:r>
    </w:p>
    <w:p>
      <w:pPr>
        <w:keepNext/>
        <w:spacing w:before="360" w:after="120"/>
      </w:pPr>
      <w:r>
        <w:rPr>
          <w:b/>
          <w:color w:val="EA580C"/>
          <w:sz w:val="28"/>
        </w:rPr>
        <w:t xml:space="preserve">12. </w:t>
      </w:r>
      <w:r>
        <w:rPr>
          <w:b/>
          <w:color w:val="0F172A"/>
          <w:sz w:val="28"/>
        </w:rPr>
        <w:t>Real-World Viability, Security &amp; Privacy</w:t>
      </w:r>
    </w:p>
    <w:p>
      <w:pPr>
        <w:pStyle w:val="ListBullet"/>
        <w:spacing w:before="0" w:after="80" w:line="276" w:lineRule="auto"/>
      </w:pPr>
      <w:r>
        <w:rPr>
          <w:b/>
          <w:color w:val="0F172A"/>
          <w:sz w:val="21"/>
        </w:rPr>
        <w:t xml:space="preserve">Economic Impact on Consumers: </w:t>
      </w:r>
      <w:r>
        <w:rPr>
          <w:color w:val="334155"/>
          <w:sz w:val="21"/>
        </w:rPr>
        <w:t>By isolating an average of ₹2,500 to ₹4,000 in monthly avoidable leakage and redirecting it into compounding equity index funds, a user can accumulate over ₹3.5 to ₹5.0 Lakhs in 5 years, fundamentally transforming middle-class financial security.</w:t>
      </w:r>
    </w:p>
    <w:p>
      <w:pPr>
        <w:pStyle w:val="ListBullet"/>
        <w:spacing w:before="0" w:after="80" w:line="276" w:lineRule="auto"/>
      </w:pPr>
      <w:r>
        <w:rPr>
          <w:b/>
          <w:color w:val="0F172A"/>
          <w:sz w:val="21"/>
        </w:rPr>
        <w:t xml:space="preserve">Bank-Grade Security &amp; Privacy: </w:t>
      </w:r>
      <w:r>
        <w:rPr>
          <w:color w:val="334155"/>
          <w:sz w:val="21"/>
        </w:rPr>
        <w:t>Zero SMS scraping and zero net-banking password sharing. All data transfer complies with the RBI NBFC-AA consent architecture, ensuring end-to-end encrypted transfer.</w:t>
      </w:r>
    </w:p>
    <w:p>
      <w:pPr>
        <w:pStyle w:val="ListBullet"/>
        <w:spacing w:before="0" w:after="80" w:line="276" w:lineRule="auto"/>
      </w:pPr>
      <w:r>
        <w:rPr>
          <w:b/>
          <w:color w:val="0F172A"/>
          <w:sz w:val="21"/>
        </w:rPr>
        <w:t xml:space="preserve">Scalability: </w:t>
      </w:r>
      <w:r>
        <w:rPr>
          <w:color w:val="334155"/>
          <w:sz w:val="21"/>
        </w:rPr>
        <w:t>Built on serverless Next.js API lambdas and auto-scaling MongoDB Atlas clusters, enabling low-cost scaling to hundreds of thousands of concurrent users.</w:t>
      </w:r>
    </w:p>
    <w:p>
      <w:pPr>
        <w:pStyle w:val="ListBullet"/>
        <w:spacing w:before="0" w:after="80" w:line="276" w:lineRule="auto"/>
      </w:pPr>
      <w:r>
        <w:rPr>
          <w:b/>
          <w:color w:val="0F172A"/>
          <w:sz w:val="21"/>
        </w:rPr>
        <w:t xml:space="preserve">Regulatory Feasibility: </w:t>
      </w:r>
      <w:r>
        <w:rPr>
          <w:color w:val="334155"/>
          <w:sz w:val="21"/>
        </w:rPr>
        <w:t>Fully aligned with Indian financial regulations (RBI AA guidelines, ReBIT schemas, AMFI mutual fund codes, IRDAI insurance guidelines).</w:t>
      </w:r>
    </w:p>
    <w:p>
      <w:pPr>
        <w:keepNext/>
        <w:spacing w:before="360" w:after="120"/>
      </w:pPr>
      <w:r>
        <w:rPr>
          <w:b/>
          <w:color w:val="EA580C"/>
          <w:sz w:val="28"/>
        </w:rPr>
        <w:t xml:space="preserve">13. </w:t>
      </w:r>
      <w:r>
        <w:rPr>
          <w:b/>
          <w:color w:val="0F172A"/>
          <w:sz w:val="28"/>
        </w:rPr>
        <w:t>Future Scope &amp; Production Roadmap</w:t>
      </w:r>
    </w:p>
    <w:p>
      <w:pPr>
        <w:pStyle w:val="ListBullet"/>
        <w:spacing w:before="0" w:after="80" w:line="276" w:lineRule="auto"/>
      </w:pPr>
      <w:r>
        <w:rPr>
          <w:b/>
          <w:color w:val="0F172A"/>
          <w:sz w:val="21"/>
        </w:rPr>
        <w:t xml:space="preserve">1. Direct Mutual Fund Execution via BSE StAR MF / MF Central: </w:t>
      </w:r>
      <w:r>
        <w:rPr>
          <w:color w:val="334155"/>
          <w:sz w:val="21"/>
        </w:rPr>
        <w:t>Enable users to execute recommended SIPs directly through BSE StAR MF APIs without leaving the app.</w:t>
      </w:r>
    </w:p>
    <w:p>
      <w:pPr>
        <w:pStyle w:val="ListBullet"/>
        <w:spacing w:before="0" w:after="80" w:line="276" w:lineRule="auto"/>
      </w:pPr>
      <w:r>
        <w:rPr>
          <w:b/>
          <w:color w:val="0F172A"/>
          <w:sz w:val="21"/>
        </w:rPr>
        <w:t xml:space="preserve">2. Production NPCI UPI Integration: </w:t>
      </w:r>
      <w:r>
        <w:rPr>
          <w:color w:val="334155"/>
          <w:sz w:val="21"/>
        </w:rPr>
        <w:t>Partner with an authorized sponsor bank (Yes Bank, Axis) to enable real money UPI transactions via TPAP certification.</w:t>
      </w:r>
    </w:p>
    <w:p>
      <w:pPr>
        <w:pStyle w:val="ListBullet"/>
        <w:spacing w:before="0" w:after="80" w:line="276" w:lineRule="auto"/>
      </w:pPr>
      <w:r>
        <w:rPr>
          <w:b/>
          <w:color w:val="0F172A"/>
          <w:sz w:val="21"/>
        </w:rPr>
        <w:t xml:space="preserve">3. Tesseract OCR for Scanned Physical Receipts: </w:t>
      </w:r>
      <w:r>
        <w:rPr>
          <w:color w:val="334155"/>
          <w:sz w:val="21"/>
        </w:rPr>
        <w:t>Add on-device optical character recognition for paper bills, supermarket thermal slips, and local fuel receipts.</w:t>
      </w:r>
    </w:p>
    <w:p>
      <w:pPr>
        <w:pStyle w:val="ListBullet"/>
        <w:spacing w:before="0" w:after="80" w:line="276" w:lineRule="auto"/>
      </w:pPr>
      <w:r>
        <w:rPr>
          <w:b/>
          <w:color w:val="0F172A"/>
          <w:sz w:val="21"/>
        </w:rPr>
        <w:t xml:space="preserve">4. Multi-Language Vernacular Audio Support: </w:t>
      </w:r>
      <w:r>
        <w:rPr>
          <w:color w:val="334155"/>
          <w:sz w:val="21"/>
        </w:rPr>
        <w:t>Integrate Indian regional language summaries (Hindi, Kannada, Tamil, Telugu) for tier-2/3 micro-merchants.</w:t>
      </w:r>
    </w:p>
    <w:p>
      <w:pPr>
        <w:keepNext/>
        <w:spacing w:before="360" w:after="120"/>
      </w:pPr>
      <w:r>
        <w:rPr>
          <w:b/>
          <w:color w:val="EA580C"/>
          <w:sz w:val="28"/>
        </w:rPr>
        <w:t xml:space="preserve">14. </w:t>
      </w:r>
      <w:r>
        <w:rPr>
          <w:b/>
          <w:color w:val="0F172A"/>
          <w:sz w:val="28"/>
        </w:rPr>
        <w:t>Setup &amp; Step-by-Step Reproducibility</w:t>
      </w:r>
    </w:p>
    <w:p>
      <w:pPr>
        <w:spacing w:before="0" w:after="120" w:line="276" w:lineRule="auto"/>
      </w:pPr>
      <w:r>
        <w:rPr>
          <w:sz w:val="21"/>
        </w:rPr>
        <w:t>The project is 100% reproducible on any standard machine running Node.js 18+ and MongoDB:</w:t>
      </w:r>
    </w:p>
    <w:p>
      <w:pPr>
        <w:pStyle w:val="ListBullet"/>
        <w:spacing w:before="0" w:after="80" w:line="276" w:lineRule="auto"/>
      </w:pPr>
      <w:r>
        <w:rPr>
          <w:b/>
          <w:color w:val="0F172A"/>
          <w:sz w:val="21"/>
        </w:rPr>
        <w:t xml:space="preserve">Step 1: Clone Repository: </w:t>
      </w:r>
      <w:r>
        <w:rPr>
          <w:color w:val="334155"/>
          <w:sz w:val="21"/>
        </w:rPr>
        <w:t>git clone https://github.com/Poornatejas7/Srujana_hackathon_2026_happy_pocket.git &amp;&amp; cd happy_pocket</w:t>
      </w:r>
    </w:p>
    <w:p>
      <w:pPr>
        <w:pStyle w:val="ListBullet"/>
        <w:spacing w:before="0" w:after="80" w:line="276" w:lineRule="auto"/>
      </w:pPr>
      <w:r>
        <w:rPr>
          <w:b/>
          <w:color w:val="0F172A"/>
          <w:sz w:val="21"/>
        </w:rPr>
        <w:t xml:space="preserve">Step 2: Install Dependencies: </w:t>
      </w:r>
      <w:r>
        <w:rPr>
          <w:color w:val="334155"/>
          <w:sz w:val="21"/>
        </w:rPr>
        <w:t>npm install</w:t>
      </w:r>
    </w:p>
    <w:p>
      <w:pPr>
        <w:pStyle w:val="ListBullet"/>
        <w:spacing w:before="0" w:after="80" w:line="276" w:lineRule="auto"/>
      </w:pPr>
      <w:r>
        <w:rPr>
          <w:b/>
          <w:color w:val="0F172A"/>
          <w:sz w:val="21"/>
        </w:rPr>
        <w:t xml:space="preserve">Step 3: Environment Variables (.env.local): </w:t>
      </w:r>
      <w:r>
        <w:rPr>
          <w:color w:val="334155"/>
          <w:sz w:val="21"/>
        </w:rPr>
        <w:t>MONGODB_URI=mongodb+srv://&lt;username&gt;:&lt;password&gt;@cluster0.0bnasia.mongodb.net/happypocket</w:t>
        <w:br/>
        <w:t>(Optional) SETU_CLIENT_ID=&lt;your_setu_client_id&gt;</w:t>
        <w:br/>
        <w:t>(Optional) SETU_CLIENT_SECRET=&lt;your_setu_client_secret&gt;</w:t>
      </w:r>
    </w:p>
    <w:p>
      <w:pPr>
        <w:pStyle w:val="ListBullet"/>
        <w:spacing w:before="0" w:after="80" w:line="276" w:lineRule="auto"/>
      </w:pPr>
      <w:r>
        <w:rPr>
          <w:b/>
          <w:color w:val="0F172A"/>
          <w:sz w:val="21"/>
        </w:rPr>
        <w:t xml:space="preserve">Step 4: Seed Curated Demo Data: </w:t>
      </w:r>
      <w:r>
        <w:rPr>
          <w:color w:val="334155"/>
          <w:sz w:val="21"/>
        </w:rPr>
        <w:t>node scripts/seed_sample_data.js</w:t>
      </w:r>
    </w:p>
    <w:p>
      <w:pPr>
        <w:pStyle w:val="ListBullet"/>
        <w:spacing w:before="0" w:after="80" w:line="276" w:lineRule="auto"/>
      </w:pPr>
      <w:r>
        <w:rPr>
          <w:b/>
          <w:color w:val="0F172A"/>
          <w:sz w:val="21"/>
        </w:rPr>
        <w:t xml:space="preserve">Step 5: Run Development Server: </w:t>
      </w:r>
      <w:r>
        <w:rPr>
          <w:color w:val="334155"/>
          <w:sz w:val="21"/>
        </w:rPr>
        <w:t>npm run dev  (Opens on http://localhost:3000)</w:t>
      </w:r>
    </w:p>
    <w:p>
      <w:pPr>
        <w:pStyle w:val="ListBullet"/>
        <w:spacing w:before="0" w:after="80" w:line="276" w:lineRule="auto"/>
      </w:pPr>
      <w:r>
        <w:rPr>
          <w:b/>
          <w:color w:val="0F172A"/>
          <w:sz w:val="21"/>
        </w:rPr>
        <w:t xml:space="preserve">Step 6: Production Build Verification: </w:t>
      </w:r>
      <w:r>
        <w:rPr>
          <w:color w:val="334155"/>
          <w:sz w:val="21"/>
        </w:rPr>
        <w:t>npm run build  (Validates TypeScript and static generation)</w:t>
      </w:r>
    </w:p>
    <w:p>
      <w:pPr>
        <w:keepNext/>
        <w:spacing w:before="360" w:after="120"/>
      </w:pPr>
      <w:r>
        <w:rPr>
          <w:b/>
          <w:color w:val="EA580C"/>
          <w:sz w:val="28"/>
        </w:rPr>
        <w:t xml:space="preserve">15. </w:t>
      </w:r>
      <w:r>
        <w:rPr>
          <w:b/>
          <w:color w:val="0F172A"/>
          <w:sz w:val="28"/>
        </w:rPr>
        <w:t>Team Contributions &amp; Official References</w:t>
      </w:r>
    </w:p>
    <w:p>
      <w:pPr>
        <w:pStyle w:val="ListBullet"/>
        <w:spacing w:before="0" w:after="80" w:line="276" w:lineRule="auto"/>
      </w:pPr>
      <w:r>
        <w:rPr>
          <w:b/>
          <w:color w:val="0F172A"/>
          <w:sz w:val="21"/>
        </w:rPr>
        <w:t xml:space="preserve">Team ORYN Contributions: </w:t>
      </w:r>
      <w:r>
        <w:rPr>
          <w:color w:val="334155"/>
          <w:sz w:val="21"/>
        </w:rPr>
        <w:t>• Full-Stack Architecture &amp; Next.js 16 Implementation;</w:t>
        <w:br/>
        <w:t>• Anti-Distortion Engine, Semantic Lexicons, &amp; Mathematical Formulation;</w:t>
        <w:br/>
        <w:t>• Sovereign RBI Account Aggregator Flow &amp; ReBIT Compliance;</w:t>
        <w:br/>
        <w:t>• Desktop FinTech SaaS UI, Charting Visualizations, &amp; Mobile Frame Simulator;</w:t>
        <w:br/>
        <w:t>• MongoDB Atlas Database Design, Seeding Scripts, &amp; Comprehensive QA.</w:t>
      </w:r>
    </w:p>
    <w:p>
      <w:pPr>
        <w:pStyle w:val="ListBullet"/>
        <w:spacing w:before="0" w:after="80" w:line="276" w:lineRule="auto"/>
      </w:pPr>
      <w:r>
        <w:rPr>
          <w:b/>
          <w:color w:val="0F172A"/>
          <w:sz w:val="21"/>
        </w:rPr>
        <w:t xml:space="preserve">Official References &amp; Regulatory Standards: </w:t>
      </w:r>
      <w:r>
        <w:rPr>
          <w:color w:val="334155"/>
          <w:sz w:val="21"/>
        </w:rPr>
        <w:t>1. Reserve Bank of India (RBI) — Master Directions on Non-Banking Financial Company - Account Aggregator (2016-2023).</w:t>
        <w:br/>
        <w:t>2. ReBIT (Reserve Bank Information Technology) — Financial Information Data Standards (v1.1.2).</w:t>
        <w:br/>
        <w:t>3. Sahamati — India Account Aggregator Ecosystem Specifications.</w:t>
        <w:br/>
        <w:t>4. Association of Mutual Funds in India (AMFI) — Historical Returns &amp; Scheme API Documentation.</w:t>
        <w:br/>
        <w:t>5. Insurance Regulatory and Development Authority of India (IRDAI) — Term &amp; Health Premium Benchmarks.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