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Calibri" w:hAnsi="Calibri"/>
          <w:b/>
          <w:color w:val="17365D"/>
          <w:sz w:val="56"/>
        </w:rPr>
        <w:t>PREPROCESSING</w:t>
        <w:br/>
        <w:t>DECISIONS REPORT</w:t>
      </w:r>
    </w:p>
    <w:p>
      <w:pPr>
        <w:jc w:val="center"/>
      </w:pPr>
      <w:r>
        <w:rPr>
          <w:color w:val="595959"/>
          <w:sz w:val="32"/>
        </w:rPr>
        <w:t>Loan Approval Prediction Dataset</w:t>
      </w:r>
    </w:p>
    <w:p/>
    <w:p>
      <w:pPr>
        <w:jc w:val="center"/>
      </w:pPr>
      <w:r>
        <w:rPr>
          <w:i/>
        </w:rPr>
        <w:t>Prepared from the supplied preprocessing notebook</w:t>
        <w:br/>
        <w:t>and loan_dataset_after_step_8.csv</w:t>
      </w:r>
    </w:p>
    <w:p>
      <w:r>
        <w:br w:type="page"/>
      </w:r>
    </w:p>
    <w:p>
      <w:pPr>
        <w:pStyle w:val="Heading1"/>
      </w:pPr>
      <w:r>
        <w:t>1. Introduction</w:t>
      </w:r>
    </w:p>
    <w:p>
      <w:r>
        <w:t>This report documents the preprocessing decisions applied to a loan approval dataset before it is used for machine-learning analysis. The workflow is taken from the supplied Jupyter Notebook, “05_preprocessing (1).ipynb”. The accompanying CSV file, “loan_dataset_after_step_8.csv”, is used to verify the structure and condition of the final output.</w:t>
      </w:r>
    </w:p>
    <w:p>
      <w:r>
        <w:t>The purpose of preprocessing in this workflow is to create useful input features, convert categorical information into numeric form, divide the data into training and testing subsets, and standardize selected numerical variables.</w:t>
      </w:r>
    </w:p>
    <w:p>
      <w:pPr>
        <w:pStyle w:val="Heading1"/>
      </w:pPr>
      <w:r>
        <w:t>2. Dataset Overview</w:t>
      </w:r>
    </w:p>
    <w:p>
      <w:r>
        <w:t>The final processed CSV contains 614 records and 17 columns: 16 input features and one target column (Loan_Status). The identifier column Customer_ID is not present in the final output.</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7365D"/>
          </w:tcPr>
          <w:p>
            <w:r/>
            <w:r>
              <w:rPr>
                <w:b/>
                <w:color w:val="FFFFFF"/>
                <w:sz w:val="18"/>
              </w:rPr>
              <w:t>Item</w:t>
            </w:r>
          </w:p>
        </w:tc>
        <w:tc>
          <w:tcPr>
            <w:tcW w:type="dxa" w:w="4896"/>
            <w:vAlign w:val="center"/>
            <w:shd w:fill="17365D"/>
          </w:tcPr>
          <w:p>
            <w:r/>
            <w:r>
              <w:rPr>
                <w:b/>
                <w:color w:val="FFFFFF"/>
                <w:sz w:val="18"/>
              </w:rPr>
              <w:t>Observed value</w:t>
            </w:r>
          </w:p>
        </w:tc>
      </w:tr>
      <w:tr>
        <w:tc>
          <w:tcPr>
            <w:tcW w:type="dxa" w:w="4896"/>
            <w:vAlign w:val="center"/>
          </w:tcPr>
          <w:p>
            <w:r/>
            <w:r>
              <w:rPr>
                <w:b/>
                <w:sz w:val="18"/>
              </w:rPr>
              <w:t>Number of records</w:t>
            </w:r>
          </w:p>
        </w:tc>
        <w:tc>
          <w:tcPr>
            <w:tcW w:type="dxa" w:w="4896"/>
            <w:vAlign w:val="center"/>
          </w:tcPr>
          <w:p>
            <w:r/>
            <w:r>
              <w:rPr>
                <w:b w:val="0"/>
                <w:sz w:val="18"/>
              </w:rPr>
              <w:t>614</w:t>
            </w:r>
          </w:p>
        </w:tc>
      </w:tr>
      <w:tr>
        <w:tc>
          <w:tcPr>
            <w:tcW w:type="dxa" w:w="4896"/>
            <w:vAlign w:val="center"/>
          </w:tcPr>
          <w:p>
            <w:r/>
            <w:r>
              <w:rPr>
                <w:b/>
                <w:sz w:val="18"/>
              </w:rPr>
              <w:t>Total columns</w:t>
            </w:r>
          </w:p>
        </w:tc>
        <w:tc>
          <w:tcPr>
            <w:tcW w:type="dxa" w:w="4896"/>
            <w:vAlign w:val="center"/>
          </w:tcPr>
          <w:p>
            <w:r/>
            <w:r>
              <w:rPr>
                <w:b w:val="0"/>
                <w:sz w:val="18"/>
              </w:rPr>
              <w:t>17</w:t>
            </w:r>
          </w:p>
        </w:tc>
      </w:tr>
      <w:tr>
        <w:tc>
          <w:tcPr>
            <w:tcW w:type="dxa" w:w="4896"/>
            <w:vAlign w:val="center"/>
          </w:tcPr>
          <w:p>
            <w:r/>
            <w:r>
              <w:rPr>
                <w:b/>
                <w:sz w:val="18"/>
              </w:rPr>
              <w:t>Input features</w:t>
            </w:r>
          </w:p>
        </w:tc>
        <w:tc>
          <w:tcPr>
            <w:tcW w:type="dxa" w:w="4896"/>
            <w:vAlign w:val="center"/>
          </w:tcPr>
          <w:p>
            <w:r/>
            <w:r>
              <w:rPr>
                <w:b w:val="0"/>
                <w:sz w:val="18"/>
              </w:rPr>
              <w:t>16</w:t>
            </w:r>
          </w:p>
        </w:tc>
      </w:tr>
      <w:tr>
        <w:tc>
          <w:tcPr>
            <w:tcW w:type="dxa" w:w="4896"/>
            <w:vAlign w:val="center"/>
          </w:tcPr>
          <w:p>
            <w:r/>
            <w:r>
              <w:rPr>
                <w:b/>
                <w:sz w:val="18"/>
              </w:rPr>
              <w:t>Target variable</w:t>
            </w:r>
          </w:p>
        </w:tc>
        <w:tc>
          <w:tcPr>
            <w:tcW w:type="dxa" w:w="4896"/>
            <w:vAlign w:val="center"/>
          </w:tcPr>
          <w:p>
            <w:r/>
            <w:r>
              <w:rPr>
                <w:b w:val="0"/>
                <w:sz w:val="18"/>
              </w:rPr>
              <w:t>Loan_Status</w:t>
            </w:r>
          </w:p>
        </w:tc>
      </w:tr>
      <w:tr>
        <w:tc>
          <w:tcPr>
            <w:tcW w:type="dxa" w:w="4896"/>
            <w:vAlign w:val="center"/>
          </w:tcPr>
          <w:p>
            <w:r/>
            <w:r>
              <w:rPr>
                <w:b/>
                <w:sz w:val="18"/>
              </w:rPr>
              <w:t>Missing values in final CSV</w:t>
            </w:r>
          </w:p>
        </w:tc>
        <w:tc>
          <w:tcPr>
            <w:tcW w:type="dxa" w:w="4896"/>
            <w:vAlign w:val="center"/>
          </w:tcPr>
          <w:p>
            <w:r/>
            <w:r>
              <w:rPr>
                <w:b w:val="0"/>
                <w:sz w:val="18"/>
              </w:rPr>
              <w:t>0</w:t>
            </w:r>
          </w:p>
        </w:tc>
      </w:tr>
      <w:tr>
        <w:tc>
          <w:tcPr>
            <w:tcW w:type="dxa" w:w="4896"/>
            <w:vAlign w:val="center"/>
          </w:tcPr>
          <w:p>
            <w:r/>
            <w:r>
              <w:rPr>
                <w:b/>
                <w:sz w:val="18"/>
              </w:rPr>
              <w:t>Infinite numeric values in final CSV</w:t>
            </w:r>
          </w:p>
        </w:tc>
        <w:tc>
          <w:tcPr>
            <w:tcW w:type="dxa" w:w="4896"/>
            <w:vAlign w:val="center"/>
          </w:tcPr>
          <w:p>
            <w:r/>
            <w:r>
              <w:rPr>
                <w:b w:val="0"/>
                <w:sz w:val="18"/>
              </w:rPr>
              <w:t>0</w:t>
            </w:r>
          </w:p>
        </w:tc>
      </w:tr>
    </w:tbl>
    <w:p>
      <w:r>
        <w:t>The notebook initially reads a file named cleaned_loan_dataset.csv. Therefore, the workflow shown begins with an already-cleaned input dataset; the notebook does not document the earlier cleaning operations that produced that input.</w:t>
      </w:r>
    </w:p>
    <w:p>
      <w:pPr>
        <w:pStyle w:val="Heading1"/>
      </w:pPr>
      <w:r>
        <w:t>3. Initial Data Inspection</w:t>
      </w:r>
    </w:p>
    <w:p>
      <w:r>
        <w:t>The notebook uses head(), tail(), shape, columns, dtypes, info(), and describe() to inspect the records, dimensions, column names, data types, and descriptive statistics. It also checks missing values with isnull().sum() and checks duplicate rows with duplicated().sum().</w:t>
      </w:r>
    </w:p>
    <w:p>
      <w:r>
        <w:t>Decision and rationale: inspect the dataset before transforming it so that its structure and potential quality issues can be understood. The notebook contains the missing-value and duplicate checks, but their printed results are not preserved in the notebook source supplied for this report. Accordingly, this report does not claim that the original input had zero missing values or duplicates. The final CSV itself has no missing values.</w:t>
      </w:r>
    </w:p>
    <w:p>
      <w:pPr>
        <w:pStyle w:val="Heading1"/>
      </w:pPr>
      <w:r>
        <w:t>4. Feature Engineering</w:t>
      </w:r>
    </w:p>
    <w:p>
      <w:pPr>
        <w:pStyle w:val="Heading2"/>
      </w:pPr>
      <w:r>
        <w:t>4.1 TotalIncome</w:t>
      </w:r>
    </w:p>
    <w:p>
      <w:r>
        <w:t>A new feature named TotalIncome is calculated by adding Applicant_Income and Coapplicant_Income.</w:t>
      </w:r>
    </w:p>
    <w:p>
      <w:pPr>
        <w:jc w:val="center"/>
      </w:pPr>
      <w:r>
        <w:rPr>
          <w:b/>
        </w:rPr>
        <w:t>TotalIncome = Applicant_Income + Coapplicant_Income</w:t>
      </w:r>
    </w:p>
    <w:p>
      <w:r>
        <w:t>Reason: this combines the applicant's and co-applicant's income into one household-level income measure, which may provide a more complete representation of the income available to support a loan.</w:t>
      </w:r>
    </w:p>
    <w:p>
      <w:pPr>
        <w:pStyle w:val="Heading2"/>
      </w:pPr>
      <w:r>
        <w:t>4.2 LoanIncomeRatio</w:t>
      </w:r>
    </w:p>
    <w:p>
      <w:r>
        <w:t>The notebook creates LoanIncomeRatio using the loan amount and total income:</w:t>
      </w:r>
    </w:p>
    <w:p>
      <w:pPr>
        <w:jc w:val="center"/>
      </w:pPr>
      <w:r>
        <w:rPr>
          <w:b/>
        </w:rPr>
        <w:t>LoanIncomeRatio = (Loan_Amount × 1000) / TotalIncome</w:t>
      </w:r>
    </w:p>
    <w:p>
      <w:r>
        <w:t>Reason: the ratio expresses the loan amount relative to combined income and may help represent the scale of the requested loan compared with the applicants' income. The multiplication by 1,000 is part of the notebook's formula. The notebook does not explicitly document the units or conversion rationale, so the unit consistency should be confirmed against the source data.</w:t>
      </w:r>
    </w:p>
    <w:p>
      <w:pPr>
        <w:pStyle w:val="Heading2"/>
      </w:pPr>
      <w:r>
        <w:t>4.3 IncomeCategory</w:t>
      </w:r>
    </w:p>
    <w:p>
      <w:r>
        <w:t>TotalIncome is grouped into three bands using pandas cut(): Low for values from 0 to 5,000, Medium for values above 5,000 through 15,000, and High for values above 15,000. The include_lowest=True option includes the lowest boundary.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18"/>
              </w:rPr>
              <w:t>Category</w:t>
            </w:r>
          </w:p>
        </w:tc>
        <w:tc>
          <w:tcPr>
            <w:tcW w:type="dxa" w:w="3264"/>
            <w:vAlign w:val="center"/>
            <w:shd w:fill="17365D"/>
          </w:tcPr>
          <w:p>
            <w:r/>
            <w:r>
              <w:rPr>
                <w:b/>
                <w:color w:val="FFFFFF"/>
                <w:sz w:val="18"/>
              </w:rPr>
              <w:t>Income interval</w:t>
            </w:r>
          </w:p>
        </w:tc>
        <w:tc>
          <w:tcPr>
            <w:tcW w:type="dxa" w:w="3264"/>
            <w:vAlign w:val="center"/>
            <w:shd w:fill="17365D"/>
          </w:tcPr>
          <w:p>
            <w:r/>
            <w:r>
              <w:rPr>
                <w:b/>
                <w:color w:val="FFFFFF"/>
                <w:sz w:val="18"/>
              </w:rPr>
              <w:t>Final CSV count</w:t>
            </w:r>
          </w:p>
        </w:tc>
      </w:tr>
      <w:tr>
        <w:tc>
          <w:tcPr>
            <w:tcW w:type="dxa" w:w="3264"/>
            <w:vAlign w:val="center"/>
          </w:tcPr>
          <w:p>
            <w:r/>
            <w:r>
              <w:rPr>
                <w:b w:val="0"/>
                <w:sz w:val="18"/>
              </w:rPr>
              <w:t>Low</w:t>
            </w:r>
          </w:p>
        </w:tc>
        <w:tc>
          <w:tcPr>
            <w:tcW w:type="dxa" w:w="3264"/>
            <w:vAlign w:val="center"/>
          </w:tcPr>
          <w:p>
            <w:r/>
            <w:r>
              <w:rPr>
                <w:b w:val="0"/>
                <w:sz w:val="18"/>
              </w:rPr>
              <w:t>0 to 5,000</w:t>
            </w:r>
          </w:p>
        </w:tc>
        <w:tc>
          <w:tcPr>
            <w:tcW w:type="dxa" w:w="3264"/>
            <w:vAlign w:val="center"/>
          </w:tcPr>
          <w:p>
            <w:r/>
            <w:r>
              <w:rPr>
                <w:b w:val="0"/>
                <w:sz w:val="18"/>
              </w:rPr>
              <w:t>270</w:t>
            </w:r>
          </w:p>
        </w:tc>
      </w:tr>
      <w:tr>
        <w:tc>
          <w:tcPr>
            <w:tcW w:type="dxa" w:w="3264"/>
            <w:vAlign w:val="center"/>
          </w:tcPr>
          <w:p>
            <w:r/>
            <w:r>
              <w:rPr>
                <w:b w:val="0"/>
                <w:sz w:val="18"/>
              </w:rPr>
              <w:t>Medium</w:t>
            </w:r>
          </w:p>
        </w:tc>
        <w:tc>
          <w:tcPr>
            <w:tcW w:type="dxa" w:w="3264"/>
            <w:vAlign w:val="center"/>
          </w:tcPr>
          <w:p>
            <w:r/>
            <w:r>
              <w:rPr>
                <w:b w:val="0"/>
                <w:sz w:val="18"/>
              </w:rPr>
              <w:t>Above 5,000 to 15,000</w:t>
            </w:r>
          </w:p>
        </w:tc>
        <w:tc>
          <w:tcPr>
            <w:tcW w:type="dxa" w:w="3264"/>
            <w:vAlign w:val="center"/>
          </w:tcPr>
          <w:p>
            <w:r/>
            <w:r>
              <w:rPr>
                <w:b w:val="0"/>
                <w:sz w:val="18"/>
              </w:rPr>
              <w:t>308</w:t>
            </w:r>
          </w:p>
        </w:tc>
      </w:tr>
      <w:tr>
        <w:tc>
          <w:tcPr>
            <w:tcW w:type="dxa" w:w="3264"/>
            <w:vAlign w:val="center"/>
          </w:tcPr>
          <w:p>
            <w:r/>
            <w:r>
              <w:rPr>
                <w:b w:val="0"/>
                <w:sz w:val="18"/>
              </w:rPr>
              <w:t>High</w:t>
            </w:r>
          </w:p>
        </w:tc>
        <w:tc>
          <w:tcPr>
            <w:tcW w:type="dxa" w:w="3264"/>
            <w:vAlign w:val="center"/>
          </w:tcPr>
          <w:p>
            <w:r/>
            <w:r>
              <w:rPr>
                <w:b w:val="0"/>
                <w:sz w:val="18"/>
              </w:rPr>
              <w:t>Above 15,000</w:t>
            </w:r>
          </w:p>
        </w:tc>
        <w:tc>
          <w:tcPr>
            <w:tcW w:type="dxa" w:w="3264"/>
            <w:vAlign w:val="center"/>
          </w:tcPr>
          <w:p>
            <w:r/>
            <w:r>
              <w:rPr>
                <w:b w:val="0"/>
                <w:sz w:val="18"/>
              </w:rPr>
              <w:t>36</w:t>
            </w:r>
          </w:p>
        </w:tc>
      </w:tr>
    </w:tbl>
    <w:p>
      <w:r>
        <w:t>Reason: grouping continuous income into interpretable bands can make income patterns easier to examine. The final counts above are obtained from the encoded IncomeCategory column in the provided final CSV (0 = Low, 1 = Medium, 2 = High). The notebook does not state the currency or unit for the income thresholds.</w:t>
      </w:r>
    </w:p>
    <w:p>
      <w:pPr>
        <w:pStyle w:val="Heading1"/>
      </w:pPr>
      <w:r>
        <w:t>5. Feature and Target Separation</w:t>
      </w:r>
    </w:p>
    <w:p>
      <w:r>
        <w:t>The notebook identifies numerical and categorical columns from their data types. It then excludes Customer_ID and Loan_Status from the input feature lists. The input matrix X is built from the remaining numerical and categorical features, while y is set to Loan_Status.</w:t>
      </w:r>
    </w:p>
    <w:p>
      <w:r>
        <w:t>Decision and rationale: Customer_ID is an identifier rather than a meaningful applicant attribute for the model, so it is excluded from the predictors. Loan_Status is kept separate as the value to be predicted, preventing it from being included as an input feature.</w:t>
      </w:r>
    </w:p>
    <w:p>
      <w:pPr>
        <w:pStyle w:val="Heading1"/>
      </w:pPr>
      <w:r>
        <w:t>6. Categorical Feature Encoding</w:t>
      </w:r>
    </w:p>
    <w:p>
      <w:r>
        <w:t>The notebook converts categorical values into numeric columns so that they can be supplied to machine-learning algorithms.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18"/>
              </w:rPr>
              <w:t>Feature</w:t>
            </w:r>
          </w:p>
        </w:tc>
        <w:tc>
          <w:tcPr>
            <w:tcW w:type="dxa" w:w="3264"/>
            <w:vAlign w:val="center"/>
            <w:shd w:fill="17365D"/>
          </w:tcPr>
          <w:p>
            <w:r/>
            <w:r>
              <w:rPr>
                <w:b/>
                <w:color w:val="FFFFFF"/>
                <w:sz w:val="18"/>
              </w:rPr>
              <w:t>Original values</w:t>
            </w:r>
          </w:p>
        </w:tc>
        <w:tc>
          <w:tcPr>
            <w:tcW w:type="dxa" w:w="3264"/>
            <w:vAlign w:val="center"/>
            <w:shd w:fill="17365D"/>
          </w:tcPr>
          <w:p>
            <w:r/>
            <w:r>
              <w:rPr>
                <w:b/>
                <w:color w:val="FFFFFF"/>
                <w:sz w:val="18"/>
              </w:rPr>
              <w:t>Encoding</w:t>
            </w:r>
          </w:p>
        </w:tc>
      </w:tr>
      <w:tr>
        <w:tc>
          <w:tcPr>
            <w:tcW w:type="dxa" w:w="3264"/>
            <w:vAlign w:val="center"/>
          </w:tcPr>
          <w:p>
            <w:r/>
            <w:r>
              <w:rPr>
                <w:b w:val="0"/>
                <w:sz w:val="18"/>
              </w:rPr>
              <w:t>Gender</w:t>
            </w:r>
          </w:p>
        </w:tc>
        <w:tc>
          <w:tcPr>
            <w:tcW w:type="dxa" w:w="3264"/>
            <w:vAlign w:val="center"/>
          </w:tcPr>
          <w:p>
            <w:r/>
            <w:r>
              <w:rPr>
                <w:b w:val="0"/>
                <w:sz w:val="18"/>
              </w:rPr>
              <w:t>Female, Male</w:t>
            </w:r>
          </w:p>
        </w:tc>
        <w:tc>
          <w:tcPr>
            <w:tcW w:type="dxa" w:w="3264"/>
            <w:vAlign w:val="center"/>
          </w:tcPr>
          <w:p>
            <w:r/>
            <w:r>
              <w:rPr>
                <w:b w:val="0"/>
                <w:sz w:val="18"/>
              </w:rPr>
              <w:t>Female = 0; Male = 1</w:t>
            </w:r>
          </w:p>
        </w:tc>
      </w:tr>
      <w:tr>
        <w:tc>
          <w:tcPr>
            <w:tcW w:type="dxa" w:w="3264"/>
            <w:vAlign w:val="center"/>
          </w:tcPr>
          <w:p>
            <w:r/>
            <w:r>
              <w:rPr>
                <w:b w:val="0"/>
                <w:sz w:val="18"/>
              </w:rPr>
              <w:t>Married</w:t>
            </w:r>
          </w:p>
        </w:tc>
        <w:tc>
          <w:tcPr>
            <w:tcW w:type="dxa" w:w="3264"/>
            <w:vAlign w:val="center"/>
          </w:tcPr>
          <w:p>
            <w:r/>
            <w:r>
              <w:rPr>
                <w:b w:val="0"/>
                <w:sz w:val="18"/>
              </w:rPr>
              <w:t>No, Yes</w:t>
            </w:r>
          </w:p>
        </w:tc>
        <w:tc>
          <w:tcPr>
            <w:tcW w:type="dxa" w:w="3264"/>
            <w:vAlign w:val="center"/>
          </w:tcPr>
          <w:p>
            <w:r/>
            <w:r>
              <w:rPr>
                <w:b w:val="0"/>
                <w:sz w:val="18"/>
              </w:rPr>
              <w:t>No = 0; Yes = 1</w:t>
            </w:r>
          </w:p>
        </w:tc>
      </w:tr>
      <w:tr>
        <w:tc>
          <w:tcPr>
            <w:tcW w:type="dxa" w:w="3264"/>
            <w:vAlign w:val="center"/>
          </w:tcPr>
          <w:p>
            <w:r/>
            <w:r>
              <w:rPr>
                <w:b w:val="0"/>
                <w:sz w:val="18"/>
              </w:rPr>
              <w:t>Education</w:t>
            </w:r>
          </w:p>
        </w:tc>
        <w:tc>
          <w:tcPr>
            <w:tcW w:type="dxa" w:w="3264"/>
            <w:vAlign w:val="center"/>
          </w:tcPr>
          <w:p>
            <w:r/>
            <w:r>
              <w:rPr>
                <w:b w:val="0"/>
                <w:sz w:val="18"/>
              </w:rPr>
              <w:t>Not Graduate, Graduate</w:t>
            </w:r>
          </w:p>
        </w:tc>
        <w:tc>
          <w:tcPr>
            <w:tcW w:type="dxa" w:w="3264"/>
            <w:vAlign w:val="center"/>
          </w:tcPr>
          <w:p>
            <w:r/>
            <w:r>
              <w:rPr>
                <w:b w:val="0"/>
                <w:sz w:val="18"/>
              </w:rPr>
              <w:t>Not Graduate = 0; Graduate = 1</w:t>
            </w:r>
          </w:p>
        </w:tc>
      </w:tr>
      <w:tr>
        <w:tc>
          <w:tcPr>
            <w:tcW w:type="dxa" w:w="3264"/>
            <w:vAlign w:val="center"/>
          </w:tcPr>
          <w:p>
            <w:r/>
            <w:r>
              <w:rPr>
                <w:b w:val="0"/>
                <w:sz w:val="18"/>
              </w:rPr>
              <w:t>Self_Employed</w:t>
            </w:r>
          </w:p>
        </w:tc>
        <w:tc>
          <w:tcPr>
            <w:tcW w:type="dxa" w:w="3264"/>
            <w:vAlign w:val="center"/>
          </w:tcPr>
          <w:p>
            <w:r/>
            <w:r>
              <w:rPr>
                <w:b w:val="0"/>
                <w:sz w:val="18"/>
              </w:rPr>
              <w:t>No, Yes</w:t>
            </w:r>
          </w:p>
        </w:tc>
        <w:tc>
          <w:tcPr>
            <w:tcW w:type="dxa" w:w="3264"/>
            <w:vAlign w:val="center"/>
          </w:tcPr>
          <w:p>
            <w:r/>
            <w:r>
              <w:rPr>
                <w:b w:val="0"/>
                <w:sz w:val="18"/>
              </w:rPr>
              <w:t>No = 0; Yes = 1</w:t>
            </w:r>
          </w:p>
        </w:tc>
      </w:tr>
      <w:tr>
        <w:tc>
          <w:tcPr>
            <w:tcW w:type="dxa" w:w="3264"/>
            <w:vAlign w:val="center"/>
          </w:tcPr>
          <w:p>
            <w:r/>
            <w:r>
              <w:rPr>
                <w:b w:val="0"/>
                <w:sz w:val="18"/>
              </w:rPr>
              <w:t>IncomeCategory</w:t>
            </w:r>
          </w:p>
        </w:tc>
        <w:tc>
          <w:tcPr>
            <w:tcW w:type="dxa" w:w="3264"/>
            <w:vAlign w:val="center"/>
          </w:tcPr>
          <w:p>
            <w:r/>
            <w:r>
              <w:rPr>
                <w:b w:val="0"/>
                <w:sz w:val="18"/>
              </w:rPr>
              <w:t>Low, Medium, High</w:t>
            </w:r>
          </w:p>
        </w:tc>
        <w:tc>
          <w:tcPr>
            <w:tcW w:type="dxa" w:w="3264"/>
            <w:vAlign w:val="center"/>
          </w:tcPr>
          <w:p>
            <w:r/>
            <w:r>
              <w:rPr>
                <w:b w:val="0"/>
                <w:sz w:val="18"/>
              </w:rPr>
              <w:t>Low = 0; Medium = 1; High = 2</w:t>
            </w:r>
          </w:p>
        </w:tc>
      </w:tr>
      <w:tr>
        <w:tc>
          <w:tcPr>
            <w:tcW w:type="dxa" w:w="3264"/>
            <w:vAlign w:val="center"/>
          </w:tcPr>
          <w:p>
            <w:r/>
            <w:r>
              <w:rPr>
                <w:b w:val="0"/>
                <w:sz w:val="18"/>
              </w:rPr>
              <w:t>Property_Area</w:t>
            </w:r>
          </w:p>
        </w:tc>
        <w:tc>
          <w:tcPr>
            <w:tcW w:type="dxa" w:w="3264"/>
            <w:vAlign w:val="center"/>
          </w:tcPr>
          <w:p>
            <w:r/>
            <w:r>
              <w:rPr>
                <w:b w:val="0"/>
                <w:sz w:val="18"/>
              </w:rPr>
              <w:t>Rural, Semiurban, Urban</w:t>
            </w:r>
          </w:p>
        </w:tc>
        <w:tc>
          <w:tcPr>
            <w:tcW w:type="dxa" w:w="3264"/>
            <w:vAlign w:val="center"/>
          </w:tcPr>
          <w:p>
            <w:r/>
            <w:r>
              <w:rPr>
                <w:b w:val="0"/>
                <w:sz w:val="18"/>
              </w:rPr>
              <w:t>One-hot encoded into three indicator columns</w:t>
            </w:r>
          </w:p>
        </w:tc>
      </w:tr>
    </w:tbl>
    <w:p>
      <w:r>
        <w:t>Property_Area is converted using one-hot encoding. The resulting columns are Property_Area_Rural, Property_Area_Semiurban, and Property_Area_Urban. Each column indicates whether the record belongs to that area. The notebook also explicitly converts IncomeCategory to integer type after mapping.</w:t>
      </w:r>
    </w:p>
    <w:p>
      <w:pPr>
        <w:pStyle w:val="Heading1"/>
      </w:pPr>
      <w:r>
        <w:t>7. Train-Test Split</w:t>
      </w:r>
    </w:p>
    <w:p>
      <w:r>
        <w:t>The notebook sets the NumPy random seed to 42, generates a random permutation of row indices, and assigns 80% of the records to training and the remaining 20% to testing.</w:t>
      </w:r>
    </w:p>
    <w:p>
      <w:r>
        <w:t>For 614 records, the resulting split is 491 training records and 123 testing records. The same row indices are used to split both X and y, preserving the correspondence between features and target labels.</w:t>
      </w:r>
    </w:p>
    <w:p>
      <w:r>
        <w:t>Decision and rationale: the training subset is used to fit a model, while the separate testing subset can be used to evaluate its performance on records not used for fitting. The notebook uses a random split without stratification; therefore, the class proportions in the two subsets may differ.</w:t>
      </w:r>
    </w:p>
    <w:p>
      <w:pPr>
        <w:pStyle w:val="Heading1"/>
      </w:pPr>
      <w:r>
        <w:t>8. Standardization of Numerical Features</w:t>
      </w:r>
    </w:p>
    <w:p>
      <w:r>
        <w:t>The notebook standardizes six numerical columns: Applicant_Income, Coapplicant_Income, Loan_Amount, Loan_Amount_Term, TotalIncome, and LoanIncomeRatio. It calculates the mean and standard deviation from X_train only, then applies those training statistics to both X_train and X_test.</w:t>
      </w:r>
    </w:p>
    <w:p>
      <w:pPr>
        <w:jc w:val="center"/>
      </w:pPr>
      <w:r>
        <w:rPr>
          <w:b/>
        </w:rPr>
        <w:t>z = (x − training mean) / training standard deviation</w:t>
      </w:r>
    </w:p>
    <w:p>
      <w:r>
        <w:t>Reason: standardization places the selected variables on a comparable scale, which can be helpful for algorithms sensitive to feature magnitude. Using training-set statistics for both subsets prevents information from the test set from influencing the scaling parameters.</w:t>
      </w:r>
    </w:p>
    <w:p>
      <w:r>
        <w:t>The notebook does not standardize every numeric column. For example, Dependents, Credit_History, the encoded binary variables, IncomeCategory, and the one-hot Property_Area columns remain in their existing numeric form.</w:t>
      </w:r>
    </w:p>
    <w:p>
      <w:pPr>
        <w:pStyle w:val="Heading1"/>
      </w:pPr>
      <w:r>
        <w:t>9. Validation and Export</w:t>
      </w:r>
    </w:p>
    <w:p>
      <w:pPr>
        <w:pStyle w:val="ListBullet"/>
      </w:pPr>
      <w:r>
        <w:t>The notebook checks the final shapes of X_train, X_test, y_train, and y_test.</w:t>
      </w:r>
    </w:p>
    <w:p>
      <w:pPr>
        <w:pStyle w:val="ListBullet"/>
      </w:pPr>
      <w:r>
        <w:t>It checks missing-value counts in the training and testing features and targets.</w:t>
      </w:r>
    </w:p>
    <w:p>
      <w:pPr>
        <w:pStyle w:val="ListBullet"/>
      </w:pPr>
      <w:r>
        <w:t>It inspects data types and the target distribution in both subsets.</w:t>
      </w:r>
    </w:p>
    <w:p>
      <w:pPr>
        <w:pStyle w:val="ListBullet"/>
      </w:pPr>
      <w:r>
        <w:t>It checks the training means and standard deviations of the scaled features.</w:t>
      </w:r>
    </w:p>
    <w:p>
      <w:pPr>
        <w:pStyle w:val="ListBullet"/>
      </w:pPr>
      <w:r>
        <w:t>It exports X_train.csv, X_test.csv, y_train.csv, and y_test.csv, and creates a ZIP archive.</w:t>
      </w:r>
    </w:p>
    <w:p>
      <w:pPr>
        <w:pStyle w:val="ListBullet"/>
      </w:pPr>
      <w:r>
        <w:t>It then combines the processed training and testing subsets, sorts them by their original row indices, adds Loan_Status, and saves loan_dataset_after_step_8.csv.</w:t>
      </w:r>
    </w:p>
    <w:p>
      <w:r>
        <w:t>The supplied final CSV was independently inspected for this report. It contains 614 rows and 17 columns, has no missing values, and contains no positive or negative infinity values in its numeric columns.</w:t>
      </w:r>
    </w:p>
    <w:p>
      <w:pPr>
        <w:pStyle w:val="Heading1"/>
      </w:pPr>
      <w:r>
        <w:t>10. Target Variable Distribution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18"/>
              </w:rPr>
              <w:t>Loan_Status</w:t>
            </w:r>
          </w:p>
        </w:tc>
        <w:tc>
          <w:tcPr>
            <w:tcW w:type="dxa" w:w="3264"/>
            <w:vAlign w:val="center"/>
            <w:shd w:fill="17365D"/>
          </w:tcPr>
          <w:p>
            <w:r/>
            <w:r>
              <w:rPr>
                <w:b/>
                <w:color w:val="FFFFFF"/>
                <w:sz w:val="18"/>
              </w:rPr>
              <w:t>Number of records</w:t>
            </w:r>
          </w:p>
        </w:tc>
        <w:tc>
          <w:tcPr>
            <w:tcW w:type="dxa" w:w="3264"/>
            <w:vAlign w:val="center"/>
            <w:shd w:fill="17365D"/>
          </w:tcPr>
          <w:p>
            <w:r/>
            <w:r>
              <w:rPr>
                <w:b/>
                <w:color w:val="FFFFFF"/>
                <w:sz w:val="18"/>
              </w:rPr>
              <w:t>Percentage</w:t>
            </w:r>
          </w:p>
        </w:tc>
      </w:tr>
      <w:tr>
        <w:tc>
          <w:tcPr>
            <w:tcW w:type="dxa" w:w="3264"/>
            <w:vAlign w:val="center"/>
          </w:tcPr>
          <w:p>
            <w:r/>
            <w:r>
              <w:rPr>
                <w:b w:val="0"/>
                <w:sz w:val="18"/>
              </w:rPr>
              <w:t>Y</w:t>
            </w:r>
          </w:p>
        </w:tc>
        <w:tc>
          <w:tcPr>
            <w:tcW w:type="dxa" w:w="3264"/>
            <w:vAlign w:val="center"/>
          </w:tcPr>
          <w:p>
            <w:r/>
            <w:r>
              <w:rPr>
                <w:b w:val="0"/>
                <w:sz w:val="18"/>
              </w:rPr>
              <w:t>422</w:t>
            </w:r>
          </w:p>
        </w:tc>
        <w:tc>
          <w:tcPr>
            <w:tcW w:type="dxa" w:w="3264"/>
            <w:vAlign w:val="center"/>
          </w:tcPr>
          <w:p>
            <w:r/>
            <w:r>
              <w:rPr>
                <w:b w:val="0"/>
                <w:sz w:val="18"/>
              </w:rPr>
              <w:t>68.73%</w:t>
            </w:r>
          </w:p>
        </w:tc>
      </w:tr>
      <w:tr>
        <w:tc>
          <w:tcPr>
            <w:tcW w:type="dxa" w:w="3264"/>
            <w:vAlign w:val="center"/>
          </w:tcPr>
          <w:p>
            <w:r/>
            <w:r>
              <w:rPr>
                <w:b w:val="0"/>
                <w:sz w:val="18"/>
              </w:rPr>
              <w:t>N</w:t>
            </w:r>
          </w:p>
        </w:tc>
        <w:tc>
          <w:tcPr>
            <w:tcW w:type="dxa" w:w="3264"/>
            <w:vAlign w:val="center"/>
          </w:tcPr>
          <w:p>
            <w:r/>
            <w:r>
              <w:rPr>
                <w:b w:val="0"/>
                <w:sz w:val="18"/>
              </w:rPr>
              <w:t>192</w:t>
            </w:r>
          </w:p>
        </w:tc>
        <w:tc>
          <w:tcPr>
            <w:tcW w:type="dxa" w:w="3264"/>
            <w:vAlign w:val="center"/>
          </w:tcPr>
          <w:p>
            <w:r/>
            <w:r>
              <w:rPr>
                <w:b w:val="0"/>
                <w:sz w:val="18"/>
              </w:rPr>
              <w:t>31.27%</w:t>
            </w:r>
          </w:p>
        </w:tc>
      </w:tr>
    </w:tbl>
    <w:p>
      <w:r>
        <w:t>The final dataset contains more approved cases (Y) than rejected cases (N). This indicates class imbalance in the target variable. The notebook reports target counts and percentages, but does not apply an explicit balancing method such as over-sampling, under-sampling, or class weighting.</w:t>
      </w:r>
    </w:p>
    <w:p>
      <w:pPr>
        <w:pStyle w:val="Heading1"/>
      </w:pPr>
      <w:r>
        <w:t>11. Summary of Preprocessing Decisions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shd w:fill="17365D"/>
          </w:tcPr>
          <w:p>
            <w:r/>
            <w:r>
              <w:rPr>
                <w:b/>
                <w:color w:val="FFFFFF"/>
                <w:sz w:val="18"/>
              </w:rPr>
              <w:t>Stage</w:t>
            </w:r>
          </w:p>
        </w:tc>
        <w:tc>
          <w:tcPr>
            <w:tcW w:type="dxa" w:w="4896"/>
            <w:vAlign w:val="center"/>
            <w:shd w:fill="17365D"/>
          </w:tcPr>
          <w:p>
            <w:r/>
            <w:r>
              <w:rPr>
                <w:b/>
                <w:color w:val="FFFFFF"/>
                <w:sz w:val="18"/>
              </w:rPr>
              <w:t>Decision taken</w:t>
            </w:r>
          </w:p>
        </w:tc>
      </w:tr>
      <w:tr>
        <w:tc>
          <w:tcPr>
            <w:tcW w:type="dxa" w:w="4896"/>
            <w:vAlign w:val="center"/>
          </w:tcPr>
          <w:p>
            <w:r/>
            <w:r>
              <w:rPr>
                <w:b/>
                <w:sz w:val="18"/>
              </w:rPr>
              <w:t>Initial inspection</w:t>
            </w:r>
          </w:p>
        </w:tc>
        <w:tc>
          <w:tcPr>
            <w:tcW w:type="dxa" w:w="4896"/>
            <w:vAlign w:val="center"/>
          </w:tcPr>
          <w:p>
            <w:r/>
            <w:r>
              <w:rPr>
                <w:b w:val="0"/>
                <w:sz w:val="18"/>
              </w:rPr>
              <w:t>Review dimensions, columns, types, summary statistics, missing values and duplicates.</w:t>
            </w:r>
          </w:p>
        </w:tc>
      </w:tr>
      <w:tr>
        <w:tc>
          <w:tcPr>
            <w:tcW w:type="dxa" w:w="4896"/>
            <w:vAlign w:val="center"/>
          </w:tcPr>
          <w:p>
            <w:r/>
            <w:r>
              <w:rPr>
                <w:b/>
                <w:sz w:val="18"/>
              </w:rPr>
              <w:t>Feature engineering</w:t>
            </w:r>
          </w:p>
        </w:tc>
        <w:tc>
          <w:tcPr>
            <w:tcW w:type="dxa" w:w="4896"/>
            <w:vAlign w:val="center"/>
          </w:tcPr>
          <w:p>
            <w:r/>
            <w:r>
              <w:rPr>
                <w:b w:val="0"/>
                <w:sz w:val="18"/>
              </w:rPr>
              <w:t>Create TotalIncome, LoanIncomeRatio and IncomeCategory.</w:t>
            </w:r>
          </w:p>
        </w:tc>
      </w:tr>
      <w:tr>
        <w:tc>
          <w:tcPr>
            <w:tcW w:type="dxa" w:w="4896"/>
            <w:vAlign w:val="center"/>
          </w:tcPr>
          <w:p>
            <w:r/>
            <w:r>
              <w:rPr>
                <w:b/>
                <w:sz w:val="18"/>
              </w:rPr>
              <w:t>Target separation</w:t>
            </w:r>
          </w:p>
        </w:tc>
        <w:tc>
          <w:tcPr>
            <w:tcW w:type="dxa" w:w="4896"/>
            <w:vAlign w:val="center"/>
          </w:tcPr>
          <w:p>
            <w:r/>
            <w:r>
              <w:rPr>
                <w:b w:val="0"/>
                <w:sz w:val="18"/>
              </w:rPr>
              <w:t>Use Loan_Status as y; exclude Customer_ID from predictors.</w:t>
            </w:r>
          </w:p>
        </w:tc>
      </w:tr>
      <w:tr>
        <w:tc>
          <w:tcPr>
            <w:tcW w:type="dxa" w:w="4896"/>
            <w:vAlign w:val="center"/>
          </w:tcPr>
          <w:p>
            <w:r/>
            <w:r>
              <w:rPr>
                <w:b/>
                <w:sz w:val="18"/>
              </w:rPr>
              <w:t>Categorical encoding</w:t>
            </w:r>
          </w:p>
        </w:tc>
        <w:tc>
          <w:tcPr>
            <w:tcW w:type="dxa" w:w="4896"/>
            <w:vAlign w:val="center"/>
          </w:tcPr>
          <w:p>
            <w:r/>
            <w:r>
              <w:rPr>
                <w:b w:val="0"/>
                <w:sz w:val="18"/>
              </w:rPr>
              <w:t>Map binary and ordered categories to integers; one-hot encode Property_Area.</w:t>
            </w:r>
          </w:p>
        </w:tc>
      </w:tr>
      <w:tr>
        <w:tc>
          <w:tcPr>
            <w:tcW w:type="dxa" w:w="4896"/>
            <w:vAlign w:val="center"/>
          </w:tcPr>
          <w:p>
            <w:r/>
            <w:r>
              <w:rPr>
                <w:b/>
                <w:sz w:val="18"/>
              </w:rPr>
              <w:t>Data splitting</w:t>
            </w:r>
          </w:p>
        </w:tc>
        <w:tc>
          <w:tcPr>
            <w:tcW w:type="dxa" w:w="4896"/>
            <w:vAlign w:val="center"/>
          </w:tcPr>
          <w:p>
            <w:r/>
            <w:r>
              <w:rPr>
                <w:b w:val="0"/>
                <w:sz w:val="18"/>
              </w:rPr>
              <w:t>Random 80:20 split with NumPy seed 42.</w:t>
            </w:r>
          </w:p>
        </w:tc>
      </w:tr>
      <w:tr>
        <w:tc>
          <w:tcPr>
            <w:tcW w:type="dxa" w:w="4896"/>
            <w:vAlign w:val="center"/>
          </w:tcPr>
          <w:p>
            <w:r/>
            <w:r>
              <w:rPr>
                <w:b/>
                <w:sz w:val="18"/>
              </w:rPr>
              <w:t>Scaling</w:t>
            </w:r>
          </w:p>
        </w:tc>
        <w:tc>
          <w:tcPr>
            <w:tcW w:type="dxa" w:w="4896"/>
            <w:vAlign w:val="center"/>
          </w:tcPr>
          <w:p>
            <w:r/>
            <w:r>
              <w:rPr>
                <w:b w:val="0"/>
                <w:sz w:val="18"/>
              </w:rPr>
              <w:t>Standardize six selected numerical features using training-set statistics.</w:t>
            </w:r>
          </w:p>
        </w:tc>
      </w:tr>
      <w:tr>
        <w:tc>
          <w:tcPr>
            <w:tcW w:type="dxa" w:w="4896"/>
            <w:vAlign w:val="center"/>
          </w:tcPr>
          <w:p>
            <w:r/>
            <w:r>
              <w:rPr>
                <w:b/>
                <w:sz w:val="18"/>
              </w:rPr>
              <w:t>Validation and export</w:t>
            </w:r>
          </w:p>
        </w:tc>
        <w:tc>
          <w:tcPr>
            <w:tcW w:type="dxa" w:w="4896"/>
            <w:vAlign w:val="center"/>
          </w:tcPr>
          <w:p>
            <w:r/>
            <w:r>
              <w:rPr>
                <w:b w:val="0"/>
                <w:sz w:val="18"/>
              </w:rPr>
              <w:t>Check shapes, missing values, data types and target distributions; save processed datasets.</w:t>
            </w:r>
          </w:p>
        </w:tc>
      </w:tr>
    </w:tbl>
    <w:p>
      <w:pPr>
        <w:pStyle w:val="Heading1"/>
      </w:pPr>
      <w:r>
        <w:t>12. Observations and Recommendations</w:t>
      </w:r>
    </w:p>
    <w:p>
      <w:pPr>
        <w:pStyle w:val="ListBullet"/>
      </w:pPr>
      <w:r>
        <w:t>Missing-value treatment is not shown in the supplied notebook. Since the notebook reads a file named cleaned_loan_dataset.csv, any earlier imputation or row removal should be documented in the preceding data-cleaning stage.</w:t>
      </w:r>
    </w:p>
    <w:p>
      <w:pPr>
        <w:pStyle w:val="ListBullet"/>
      </w:pPr>
      <w:r>
        <w:t>The duplicate check is present, but its result is not captured in the supplied notebook source. Record the duplicate count and the action taken, if any, in the full project documentation.</w:t>
      </w:r>
    </w:p>
    <w:p>
      <w:pPr>
        <w:pStyle w:val="ListBullet"/>
      </w:pPr>
      <w:r>
        <w:t>Confirm that the Loan_Amount × 1000 conversion in LoanIncomeRatio is consistent with the units used for TotalIncome. Also verify that TotalIncome cannot be zero before calculating the ratio.</w:t>
      </w:r>
    </w:p>
    <w:p>
      <w:pPr>
        <w:pStyle w:val="ListBullet"/>
      </w:pPr>
      <w:r>
        <w:t>The train-test split is not stratified. Consider a stratified split in a future version if maintaining similar Loan_Status proportions in both subsets is important.</w:t>
      </w:r>
    </w:p>
    <w:p>
      <w:pPr>
        <w:pStyle w:val="ListBullet"/>
      </w:pPr>
      <w:r>
        <w:t>The target distribution is imbalanced (approximately 68.73% Y and 31.27% N). Evaluate model performance using suitable metrics for both classes, rather than relying only on accuracy.</w:t>
      </w:r>
    </w:p>
    <w:p>
      <w:pPr>
        <w:pStyle w:val="ListBullet"/>
      </w:pPr>
      <w:r>
        <w:t>Fit any later preprocessing or model-selection steps using training data only, and keep the test set separate until final evaluation.</w:t>
      </w:r>
    </w:p>
    <w:p>
      <w:pPr>
        <w:pStyle w:val="Heading1"/>
      </w:pPr>
      <w:r>
        <w:t>13. Conclusion</w:t>
      </w:r>
    </w:p>
    <w:p>
      <w:r>
        <w:t>The supplied preprocessing workflow transforms the loan dataset into a model-ready tabular format by creating additional income-related features, encoding categorical attributes, separating predictors from the target, performing a reproducible 80:20 random split, and standardizing selected numerical variables using training-set statistics. The final supplied CSV contains 614 records and 17 columns with no missing or infinite values. The documented limitations—particularly the absence of recorded missing-value and duplicate-handling results, the need to confirm ratio units, and the unstratified split—should be considered when the dataset is used for model training and evaluation.</w:t>
      </w:r>
    </w:p>
    <w:p>
      <w:pPr>
        <w:pStyle w:val="Heading1"/>
      </w:pPr>
      <w:r>
        <w:t>Source Materials</w:t>
      </w:r>
    </w:p>
    <w:p>
      <w:r>
        <w:t>1. 05_preprocessing (1).ipynb — supplied preprocessing notebook.</w:t>
      </w:r>
    </w:p>
    <w:p>
      <w:r>
        <w:t>2. loan_dataset_after_step_8.csv — supplied final processed dataset.</w:t>
      </w:r>
    </w:p>
    <w:p>
      <w:r>
        <w:t>This report describes the decisions visible in those materials. It does not assume or document preprocessing operations that are not shown in the notebook.</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Preprocessing Decisions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LOAN APPROVAL PREDICTION | DATA PREPROCESSING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