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Candler Hospital Savannah GA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Candler Hospital Savannah GA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84253F5FB67B, 84253FAB8C75</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Candler Hospital Savannah GA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09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0.95 mpy and 0.09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recommended range for 45.3% of the reporting month. Polymer consumption rate averaged 41.6% and increased from 41.6% at the start of the month to 44.8% at the end of the month. Conductivity was within the recommended range for 5.4% of the reporting month. End-of-month Traced Product was 89.3% higher than the setpoint, and conductivity was also not maintained, so the product trend should be treated as conductivity-related until cycles, blowdown, makeup, or dilution behavior is corrected.</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Insufficient ORP spike was observed during oxidizing biocide application, so oxidizing biocide feed response should be reviewed during the upcoming service visit.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00857C"/>
          <w:sz w:val="20"/>
        </w:rPr>
        <w:t>Excellent</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300.0 µS/cm</w:t>
            </w:r>
          </w:p>
        </w:tc>
        <w:tc>
          <w:tcPr>
            <w:tcW w:type="dxa" w:w="1928"/>
            <w:shd w:val="clear" w:color="auto" w:fill="FFFFFF"/>
          </w:tcPr>
          <w:p>
            <w:pPr>
              <w:spacing w:before="60" w:after="60"/>
            </w:pPr>
            <w:r>
              <w:rPr>
                <w:sz w:val="18"/>
              </w:rPr>
              <w:t>2.0</w:t>
            </w:r>
          </w:p>
        </w:tc>
        <w:tc>
          <w:tcPr>
            <w:tcW w:type="dxa" w:w="1928"/>
            <w:shd w:val="clear" w:color="auto" w:fill="FFFFFF"/>
          </w:tcPr>
          <w:p>
            <w:pPr>
              <w:spacing w:before="60" w:after="60"/>
            </w:pPr>
            <w:r>
              <w:rPr>
                <w:sz w:val="18"/>
              </w:rPr>
              <w:t>2.23</w:t>
            </w:r>
          </w:p>
        </w:tc>
        <w:tc>
          <w:tcPr>
            <w:tcW w:type="dxa" w:w="1928"/>
            <w:shd w:val="clear" w:color="auto" w:fill="FFFFFF"/>
          </w:tcPr>
          <w:p>
            <w:pPr>
              <w:spacing w:before="60" w:after="60"/>
            </w:pPr>
            <w:r>
              <w:rPr>
                <w:sz w:val="18"/>
              </w:rPr>
              <w:t>11.5%</w:t>
            </w:r>
          </w:p>
        </w:tc>
        <w:tc>
          <w:tcPr>
            <w:tcW w:type="dxa" w:w="1928"/>
            <w:shd w:val="clear" w:color="auto" w:fill="FFFFFF"/>
          </w:tcPr>
          <w:p>
            <w:pPr>
              <w:spacing w:before="60" w:after="60"/>
            </w:pPr>
            <w:r>
              <w:rPr>
                <w:sz w:val="18"/>
              </w:rPr>
              <w:t>Excellent</w:t>
            </w:r>
          </w:p>
        </w:tc>
      </w:tr>
    </w:tbl>
    <w:p/>
    <w:p>
      <w:pPr>
        <w:spacing w:before="80" w:after="120"/>
        <w:jc w:val="left"/>
      </w:pPr>
      <w:r>
        <w:rPr>
          <w:b w:val="0"/>
          <w:i w:val="0"/>
          <w:sz w:val="20"/>
        </w:rPr>
        <w:t>Water efficiency was Critical. Conductivity averaged 668.76 uS/cm against the 570.00-630.00 uS/cm Controller Setpoint range, with only 5.4% of readings in range. Conductivity increased from about 633.9 uS/cm early in the month to 703.6 uS/cm later in the month, indicating high cycles, reduced blowdown, evaporation concentration, or concentrated makeup conditions need review.</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53.22 ppm against the 30.00 ppm setpoint and the 28.00-32.00 ppm control range. Because conductivity was also high and not maintained, product control should be reviewed together with cycles, blowdown, makeup, and dilution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deviation remained at about 87.1% in the last 7 days, so correct the conductivity trend by checking cycles, blowdown, makeup, and dilution behavior before changing feed settings.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0.948</w:t>
            </w:r>
          </w:p>
        </w:tc>
        <w:tc>
          <w:tcPr>
            <w:tcW w:type="dxa" w:w="850"/>
            <w:shd w:val="clear" w:color="auto" w:fill="FFFFFF"/>
          </w:tcPr>
          <w:p>
            <w:pPr>
              <w:spacing w:before="60" w:after="60"/>
            </w:pPr>
            <w:r>
              <w:rPr>
                <w:sz w:val="18"/>
              </w:rPr>
              <w:t>0.469</w:t>
            </w:r>
          </w:p>
        </w:tc>
        <w:tc>
          <w:tcPr>
            <w:tcW w:type="dxa" w:w="794"/>
            <w:shd w:val="clear" w:color="auto" w:fill="FFFFFF"/>
          </w:tcPr>
          <w:p>
            <w:pPr>
              <w:spacing w:before="60" w:after="60"/>
            </w:pPr>
            <w:r>
              <w:rPr>
                <w:sz w:val="18"/>
              </w:rPr>
              <w:t>0.161</w:t>
            </w:r>
          </w:p>
        </w:tc>
        <w:tc>
          <w:tcPr>
            <w:tcW w:type="dxa" w:w="794"/>
            <w:shd w:val="clear" w:color="auto" w:fill="FFFFFF"/>
          </w:tcPr>
          <w:p>
            <w:pPr>
              <w:spacing w:before="60" w:after="60"/>
            </w:pPr>
            <w:r>
              <w:rPr>
                <w:sz w:val="18"/>
              </w:rPr>
              <w:t>1.782</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0.088</w:t>
            </w:r>
          </w:p>
        </w:tc>
        <w:tc>
          <w:tcPr>
            <w:tcW w:type="dxa" w:w="850"/>
            <w:shd w:val="clear" w:color="auto" w:fill="F2F8F7"/>
          </w:tcPr>
          <w:p>
            <w:pPr>
              <w:spacing w:before="60" w:after="60"/>
            </w:pPr>
            <w:r>
              <w:rPr>
                <w:sz w:val="18"/>
              </w:rPr>
              <w:t>0.050</w:t>
            </w:r>
          </w:p>
        </w:tc>
        <w:tc>
          <w:tcPr>
            <w:tcW w:type="dxa" w:w="794"/>
            <w:shd w:val="clear" w:color="auto" w:fill="F2F8F7"/>
          </w:tcPr>
          <w:p>
            <w:pPr>
              <w:spacing w:before="60" w:after="60"/>
            </w:pPr>
            <w:r>
              <w:rPr>
                <w:sz w:val="18"/>
              </w:rPr>
              <w:t>0.017</w:t>
            </w:r>
          </w:p>
        </w:tc>
        <w:tc>
          <w:tcPr>
            <w:tcW w:type="dxa" w:w="794"/>
            <w:shd w:val="clear" w:color="auto" w:fill="F2F8F7"/>
          </w:tcPr>
          <w:p>
            <w:pPr>
              <w:spacing w:before="60" w:after="60"/>
            </w:pPr>
            <w:r>
              <w:rPr>
                <w:sz w:val="18"/>
              </w:rPr>
              <w:t>0.260</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53.221</w:t>
            </w:r>
          </w:p>
        </w:tc>
        <w:tc>
          <w:tcPr>
            <w:tcW w:type="dxa" w:w="850"/>
            <w:shd w:val="clear" w:color="auto" w:fill="FFFFFF"/>
          </w:tcPr>
          <w:p>
            <w:pPr>
              <w:spacing w:before="60" w:after="60"/>
            </w:pPr>
            <w:r>
              <w:rPr>
                <w:sz w:val="18"/>
              </w:rPr>
              <w:t>22.283</w:t>
            </w:r>
          </w:p>
        </w:tc>
        <w:tc>
          <w:tcPr>
            <w:tcW w:type="dxa" w:w="794"/>
            <w:shd w:val="clear" w:color="auto" w:fill="FFFFFF"/>
          </w:tcPr>
          <w:p>
            <w:pPr>
              <w:spacing w:before="60" w:after="60"/>
            </w:pPr>
            <w:r>
              <w:rPr>
                <w:sz w:val="18"/>
              </w:rPr>
              <w:t>27.924</w:t>
            </w:r>
          </w:p>
        </w:tc>
        <w:tc>
          <w:tcPr>
            <w:tcW w:type="dxa" w:w="794"/>
            <w:shd w:val="clear" w:color="auto" w:fill="FFFFFF"/>
          </w:tcPr>
          <w:p>
            <w:pPr>
              <w:spacing w:before="60" w:after="60"/>
            </w:pPr>
            <w:r>
              <w:rPr>
                <w:sz w:val="18"/>
              </w:rPr>
              <w:t>85.742</w:t>
            </w:r>
          </w:p>
        </w:tc>
        <w:tc>
          <w:tcPr>
            <w:tcW w:type="dxa" w:w="964"/>
            <w:shd w:val="clear" w:color="auto" w:fill="FFFFFF"/>
          </w:tcPr>
          <w:p>
            <w:pPr>
              <w:spacing w:before="60" w:after="60"/>
            </w:pPr>
            <w:r>
              <w:rPr>
                <w:sz w:val="18"/>
              </w:rPr>
              <w:t>28.0</w:t>
            </w:r>
          </w:p>
        </w:tc>
        <w:tc>
          <w:tcPr>
            <w:tcW w:type="dxa" w:w="964"/>
            <w:shd w:val="clear" w:color="auto" w:fill="FFFFFF"/>
          </w:tcPr>
          <w:p>
            <w:pPr>
              <w:spacing w:before="60" w:after="60"/>
            </w:pPr>
            <w:r>
              <w:rPr>
                <w:sz w:val="18"/>
              </w:rPr>
              <w:t>32.0</w:t>
            </w:r>
          </w:p>
        </w:tc>
        <w:tc>
          <w:tcPr>
            <w:tcW w:type="dxa" w:w="1020"/>
            <w:shd w:val="clear" w:color="auto" w:fill="FFFFFF"/>
          </w:tcPr>
          <w:p>
            <w:pPr>
              <w:spacing w:before="60" w:after="60"/>
            </w:pPr>
            <w:r>
              <w:rPr>
                <w:sz w:val="18"/>
              </w:rPr>
              <w:t>45.3%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668.760</w:t>
            </w:r>
          </w:p>
        </w:tc>
        <w:tc>
          <w:tcPr>
            <w:tcW w:type="dxa" w:w="850"/>
            <w:shd w:val="clear" w:color="auto" w:fill="F2F8F7"/>
          </w:tcPr>
          <w:p>
            <w:pPr>
              <w:spacing w:before="60" w:after="60"/>
            </w:pPr>
            <w:r>
              <w:rPr>
                <w:sz w:val="18"/>
              </w:rPr>
              <w:t>230.617</w:t>
            </w:r>
          </w:p>
        </w:tc>
        <w:tc>
          <w:tcPr>
            <w:tcW w:type="dxa" w:w="794"/>
            <w:shd w:val="clear" w:color="auto" w:fill="F2F8F7"/>
          </w:tcPr>
          <w:p>
            <w:pPr>
              <w:spacing w:before="60" w:after="60"/>
            </w:pPr>
            <w:r>
              <w:rPr>
                <w:sz w:val="18"/>
              </w:rPr>
              <w:t>316.970</w:t>
            </w:r>
          </w:p>
        </w:tc>
        <w:tc>
          <w:tcPr>
            <w:tcW w:type="dxa" w:w="794"/>
            <w:shd w:val="clear" w:color="auto" w:fill="F2F8F7"/>
          </w:tcPr>
          <w:p>
            <w:pPr>
              <w:spacing w:before="60" w:after="60"/>
            </w:pPr>
            <w:r>
              <w:rPr>
                <w:sz w:val="18"/>
              </w:rPr>
              <w:t>1038.476</w:t>
            </w:r>
          </w:p>
        </w:tc>
        <w:tc>
          <w:tcPr>
            <w:tcW w:type="dxa" w:w="964"/>
            <w:shd w:val="clear" w:color="auto" w:fill="F2F8F7"/>
          </w:tcPr>
          <w:p>
            <w:pPr>
              <w:spacing w:before="60" w:after="60"/>
            </w:pPr>
            <w:r>
              <w:rPr>
                <w:sz w:val="18"/>
              </w:rPr>
              <w:t>570</w:t>
            </w:r>
          </w:p>
        </w:tc>
        <w:tc>
          <w:tcPr>
            <w:tcW w:type="dxa" w:w="964"/>
            <w:shd w:val="clear" w:color="auto" w:fill="F2F8F7"/>
          </w:tcPr>
          <w:p>
            <w:pPr>
              <w:spacing w:before="60" w:after="60"/>
            </w:pPr>
            <w:r>
              <w:rPr>
                <w:sz w:val="18"/>
              </w:rPr>
              <w:t>630</w:t>
            </w:r>
          </w:p>
        </w:tc>
        <w:tc>
          <w:tcPr>
            <w:tcW w:type="dxa" w:w="1020"/>
            <w:shd w:val="clear" w:color="auto" w:fill="F2F8F7"/>
          </w:tcPr>
          <w:p>
            <w:pPr>
              <w:spacing w:before="60" w:after="60"/>
            </w:pPr>
            <w:r>
              <w:rPr>
                <w:sz w:val="18"/>
              </w:rPr>
              <w:t>5.4%</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8.729</w:t>
            </w:r>
          </w:p>
        </w:tc>
        <w:tc>
          <w:tcPr>
            <w:tcW w:type="dxa" w:w="850"/>
            <w:shd w:val="clear" w:color="auto" w:fill="FFFFFF"/>
          </w:tcPr>
          <w:p>
            <w:pPr>
              <w:spacing w:before="60" w:after="60"/>
            </w:pPr>
            <w:r>
              <w:rPr>
                <w:sz w:val="18"/>
              </w:rPr>
              <w:t>0.115</w:t>
            </w:r>
          </w:p>
        </w:tc>
        <w:tc>
          <w:tcPr>
            <w:tcW w:type="dxa" w:w="794"/>
            <w:shd w:val="clear" w:color="auto" w:fill="FFFFFF"/>
          </w:tcPr>
          <w:p>
            <w:pPr>
              <w:spacing w:before="60" w:after="60"/>
            </w:pPr>
            <w:r>
              <w:rPr>
                <w:sz w:val="18"/>
              </w:rPr>
              <w:t>8.403</w:t>
            </w:r>
          </w:p>
        </w:tc>
        <w:tc>
          <w:tcPr>
            <w:tcW w:type="dxa" w:w="794"/>
            <w:shd w:val="clear" w:color="auto" w:fill="FFFFFF"/>
          </w:tcPr>
          <w:p>
            <w:pPr>
              <w:spacing w:before="60" w:after="60"/>
            </w:pPr>
            <w:r>
              <w:rPr>
                <w:sz w:val="18"/>
              </w:rPr>
              <w:t>8.947</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225.316</w:t>
            </w:r>
          </w:p>
        </w:tc>
        <w:tc>
          <w:tcPr>
            <w:tcW w:type="dxa" w:w="850"/>
            <w:shd w:val="clear" w:color="auto" w:fill="F2F8F7"/>
          </w:tcPr>
          <w:p>
            <w:pPr>
              <w:spacing w:before="60" w:after="60"/>
            </w:pPr>
            <w:r>
              <w:rPr>
                <w:sz w:val="18"/>
              </w:rPr>
              <w:t>87.630</w:t>
            </w:r>
          </w:p>
        </w:tc>
        <w:tc>
          <w:tcPr>
            <w:tcW w:type="dxa" w:w="794"/>
            <w:shd w:val="clear" w:color="auto" w:fill="F2F8F7"/>
          </w:tcPr>
          <w:p>
            <w:pPr>
              <w:spacing w:before="60" w:after="60"/>
            </w:pPr>
            <w:r>
              <w:rPr>
                <w:sz w:val="18"/>
              </w:rPr>
              <w:t>108.154</w:t>
            </w:r>
          </w:p>
        </w:tc>
        <w:tc>
          <w:tcPr>
            <w:tcW w:type="dxa" w:w="794"/>
            <w:shd w:val="clear" w:color="auto" w:fill="F2F8F7"/>
          </w:tcPr>
          <w:p>
            <w:pPr>
              <w:spacing w:before="60" w:after="60"/>
            </w:pPr>
            <w:r>
              <w:rPr>
                <w:sz w:val="18"/>
              </w:rPr>
              <w:t>378.485</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14.865</w:t>
            </w:r>
          </w:p>
        </w:tc>
        <w:tc>
          <w:tcPr>
            <w:tcW w:type="dxa" w:w="850"/>
            <w:shd w:val="clear" w:color="auto" w:fill="FFFFFF"/>
          </w:tcPr>
          <w:p>
            <w:pPr>
              <w:spacing w:before="60" w:after="60"/>
            </w:pPr>
            <w:r>
              <w:rPr>
                <w:sz w:val="18"/>
              </w:rPr>
              <w:t>15.800</w:t>
            </w:r>
          </w:p>
        </w:tc>
        <w:tc>
          <w:tcPr>
            <w:tcW w:type="dxa" w:w="794"/>
            <w:shd w:val="clear" w:color="auto" w:fill="FFFFFF"/>
          </w:tcPr>
          <w:p>
            <w:pPr>
              <w:spacing w:before="60" w:after="60"/>
            </w:pPr>
            <w:r>
              <w:rPr>
                <w:sz w:val="18"/>
              </w:rPr>
              <w:t>0.000</w:t>
            </w:r>
          </w:p>
        </w:tc>
        <w:tc>
          <w:tcPr>
            <w:tcW w:type="dxa" w:w="794"/>
            <w:shd w:val="clear" w:color="auto" w:fill="FFFFFF"/>
          </w:tcPr>
          <w:p>
            <w:pPr>
              <w:spacing w:before="60" w:after="60"/>
            </w:pPr>
            <w:r>
              <w:rPr>
                <w:sz w:val="18"/>
              </w:rPr>
              <w:t>49.475</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6.463</w:t>
            </w:r>
          </w:p>
        </w:tc>
        <w:tc>
          <w:tcPr>
            <w:tcW w:type="dxa" w:w="850"/>
            <w:shd w:val="clear" w:color="auto" w:fill="F2F8F7"/>
          </w:tcPr>
          <w:p>
            <w:pPr>
              <w:spacing w:before="60" w:after="60"/>
            </w:pPr>
            <w:r>
              <w:rPr>
                <w:sz w:val="18"/>
              </w:rPr>
              <w:t>6.921</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15.558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candler_hospital_savannah_ga_us_controllers_84253f5fb67b_84253fab8c75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decreased across the month, while copper corrosion increased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candler_hospital_savannah_ga_us_controllers_84253f5fb67b_84253fab8c75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last 7 days still show about 87.1% deviation from setpoint, indicating the issue is still present.</w:t>
      </w:r>
      <w:r>
        <w:br/>
      </w:r>
      <w:r>
        <w:rPr>
          <w:i/>
          <w:color w:val="333333"/>
          <w:sz w:val="19"/>
        </w:rPr>
        <w:t>The Traced Product average was above the configured range. The monthly in-range performance was 45.3%.</w:t>
      </w:r>
      <w:r>
        <w:br/>
      </w:r>
      <w:r>
        <w:rPr>
          <w:i/>
          <w:color w:val="333333"/>
          <w:sz w:val="19"/>
        </w:rPr>
        <w:t>Likely reason: the Traced Product trend is related to the high conductivity trend; reduced blowdown, higher cycles, or concentration effects are pushing both up.</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candler_hospital_savannah_ga_us_controllers_84253f5fb67b_84253fab8c75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showed a visible spike response pattern during the month without relying on absolute ORP values.</w:t>
      </w:r>
      <w:r>
        <w:br/>
      </w:r>
      <w:r>
        <w:rPr>
          <w:i/>
          <w:color w:val="333333"/>
          <w:sz w:val="19"/>
        </w:rPr>
        <w:t>Copper corrosion increased across the month while the ORP pattern changed.</w:t>
      </w:r>
      <w:r>
        <w:br/>
      </w:r>
      <w:r>
        <w:rPr>
          <w:i/>
          <w:color w:val="333333"/>
          <w:sz w:val="19"/>
        </w:rPr>
        <w:t>Likely reason: biocide response is present and corrosion inhibitor is preventing a copper upset.</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candler_hospital_savannah_ga_us_controllers_84253f5fb67b_84253fab8c75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increasing, but remains good against the target.</w:t>
      </w:r>
      <w:r>
        <w:br/>
      </w:r>
      <w:r>
        <w:rPr>
          <w:i/>
          <w:color w:val="333333"/>
          <w:sz w:val="19"/>
        </w:rPr>
        <w:t>Biocide relay activity was present in the monthly trend.</w:t>
      </w:r>
      <w:r>
        <w:br/>
      </w:r>
      <w:r>
        <w:rPr>
          <w:i/>
          <w:color w:val="333333"/>
          <w:sz w:val="19"/>
        </w:rPr>
        <w:t>Relay activity decreased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candler_hospital_savannah_ga_us_controllers_84253f5fb67b_84253fab8c75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increasing and needs attention against the target.</w:t>
      </w:r>
      <w:r>
        <w:br/>
      </w:r>
      <w:r>
        <w:rPr>
          <w:i/>
          <w:color w:val="333333"/>
          <w:sz w:val="19"/>
        </w:rPr>
        <w:t>The trend moved from about 633.9 µS/cm at the start to 703.6 µS/cm at the end.</w:t>
      </w:r>
      <w:r>
        <w:br/>
      </w:r>
      <w:r>
        <w:rPr>
          <w:i/>
          <w:color w:val="333333"/>
          <w:sz w:val="19"/>
        </w:rPr>
        <w:t>The conductivity average was above the configured range. The monthly in-range performance was 5.4%.</w:t>
      </w:r>
      <w:r>
        <w:br/>
      </w:r>
      <w:r>
        <w:rPr>
          <w:i/>
          <w:color w:val="333333"/>
          <w:sz w:val="19"/>
        </w:rPr>
        <w:t>Likely reason: reduced blowdown, higher cycles, evaporation concentration, or concentrated makeup is raising conductivity.</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Candler main showed Excellent corrosion control and Acceptable microbial control, while conductivity and Traced Product control require follow-up. The primary action is to correct the high conductivity trend first because the Traced Product deviation is linked with conductivity behavior. After cycles and blowdown control are stabilized, product residual and polymer efficiency should be verified during the next service visit.</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Candler Hospital Savannah GA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