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60"/>
        <w:jc w:val="center"/>
      </w:pPr>
      <w:r>
        <w:rPr>
          <w:b/>
          <w:i w:val="0"/>
          <w:color w:val="444444"/>
          <w:sz w:val="20"/>
        </w:rPr>
        <w:t>BUCKMAN DIGITAL WATER</w:t>
      </w:r>
    </w:p>
    <w:p>
      <w:pPr>
        <w:spacing w:before="60" w:after="60"/>
        <w:jc w:val="center"/>
      </w:pPr>
      <w:r>
        <w:rPr>
          <w:b/>
          <w:i w:val="0"/>
          <w:sz w:val="40"/>
        </w:rPr>
        <w:t>Monthly Cooling Water Performance Report</w:t>
      </w:r>
    </w:p>
    <w:p>
      <w:pPr>
        <w:spacing w:before="60" w:after="200"/>
        <w:jc w:val="center"/>
      </w:pPr>
      <w:r>
        <w:rPr>
          <w:b/>
          <w:i w:val="0"/>
          <w:color w:val="00857C"/>
          <w:sz w:val="30"/>
        </w:rPr>
        <w:t>Candler Hospital Savannah GA (US)</w:t>
      </w:r>
    </w:p>
    <w:p>
      <w:pPr>
        <w:spacing w:before="60" w:after="360"/>
        <w:jc w:val="center"/>
      </w:pPr>
      <w:r>
        <w:rPr>
          <w:b w:val="0"/>
          <w:i w:val="0"/>
          <w:color w:val="444444"/>
          <w:sz w:val="20"/>
        </w:rPr>
        <w:t>Reporting Month: August 2026</w:t>
      </w:r>
    </w:p>
    <w:tbl>
      <w:tblPr>
        <w:tblStyle w:val="TableGrid"/>
        <w:tblW w:type="auto" w:w="0"/>
        <w:tblLook w:firstColumn="1" w:firstRow="1" w:lastColumn="0" w:lastRow="0" w:noHBand="0" w:noVBand="1" w:val="04A0"/>
      </w:tblPr>
      <w:tblGrid>
        <w:gridCol w:w="2521"/>
        <w:gridCol w:w="2521"/>
        <w:gridCol w:w="2521"/>
        <w:gridCol w:w="2521"/>
      </w:tblGrid>
      <w:tr>
        <w:tc>
          <w:tcPr>
            <w:tcW w:type="dxa" w:w="3118"/>
            <w:shd w:val="clear" w:color="auto" w:fill="00857C"/>
          </w:tcPr>
          <w:p>
            <w:pPr>
              <w:spacing w:before="60" w:after="60"/>
            </w:pPr>
            <w:r>
              <w:rPr>
                <w:b/>
                <w:color w:val="FFFFFF"/>
                <w:sz w:val="18"/>
              </w:rPr>
              <w:t>Customer / Site</w:t>
            </w:r>
          </w:p>
        </w:tc>
        <w:tc>
          <w:tcPr>
            <w:tcW w:type="dxa" w:w="1701"/>
            <w:shd w:val="clear" w:color="auto" w:fill="00857C"/>
          </w:tcPr>
          <w:p>
            <w:pPr>
              <w:spacing w:before="60" w:after="60"/>
            </w:pPr>
            <w:r>
              <w:rPr>
                <w:b/>
                <w:color w:val="FFFFFF"/>
                <w:sz w:val="18"/>
              </w:rPr>
              <w:t>System</w:t>
            </w:r>
          </w:p>
        </w:tc>
        <w:tc>
          <w:tcPr>
            <w:tcW w:type="dxa" w:w="1984"/>
            <w:shd w:val="clear" w:color="auto" w:fill="00857C"/>
          </w:tcPr>
          <w:p>
            <w:pPr>
              <w:spacing w:before="60" w:after="60"/>
            </w:pPr>
            <w:r>
              <w:rPr>
                <w:b/>
                <w:color w:val="FFFFFF"/>
                <w:sz w:val="18"/>
              </w:rPr>
              <w:t>Controller</w:t>
            </w:r>
          </w:p>
        </w:tc>
        <w:tc>
          <w:tcPr>
            <w:tcW w:type="dxa" w:w="2551"/>
            <w:shd w:val="clear" w:color="auto" w:fill="00857C"/>
          </w:tcPr>
          <w:p>
            <w:pPr>
              <w:spacing w:before="60" w:after="60"/>
            </w:pPr>
            <w:r>
              <w:rPr>
                <w:b/>
                <w:color w:val="FFFFFF"/>
                <w:sz w:val="18"/>
              </w:rPr>
              <w:t>Prepared For</w:t>
            </w:r>
          </w:p>
        </w:tc>
      </w:tr>
      <w:tr>
        <w:tc>
          <w:tcPr>
            <w:tcW w:type="dxa" w:w="3118"/>
            <w:shd w:val="clear" w:color="auto" w:fill="FFFFFF"/>
          </w:tcPr>
          <w:p>
            <w:pPr>
              <w:spacing w:before="60" w:after="60"/>
            </w:pPr>
            <w:r>
              <w:rPr>
                <w:sz w:val="18"/>
              </w:rPr>
              <w:t>Candler Hospital Savannah GA (US)</w:t>
            </w:r>
          </w:p>
        </w:tc>
        <w:tc>
          <w:tcPr>
            <w:tcW w:type="dxa" w:w="1701"/>
            <w:shd w:val="clear" w:color="auto" w:fill="FFFFFF"/>
          </w:tcPr>
          <w:p>
            <w:pPr>
              <w:spacing w:before="60" w:after="60"/>
            </w:pPr>
            <w:r>
              <w:rPr>
                <w:sz w:val="18"/>
              </w:rPr>
              <w:t>Cooling Tower</w:t>
            </w:r>
          </w:p>
        </w:tc>
        <w:tc>
          <w:tcPr>
            <w:tcW w:type="dxa" w:w="1984"/>
            <w:shd w:val="clear" w:color="auto" w:fill="FFFFFF"/>
          </w:tcPr>
          <w:p>
            <w:pPr>
              <w:spacing w:before="60" w:after="60"/>
            </w:pPr>
            <w:r>
              <w:rPr>
                <w:sz w:val="18"/>
              </w:rPr>
              <w:t>84253FAB8C75</w:t>
            </w:r>
          </w:p>
        </w:tc>
        <w:tc>
          <w:tcPr>
            <w:tcW w:type="dxa" w:w="2551"/>
            <w:shd w:val="clear" w:color="auto" w:fill="FFFFFF"/>
          </w:tcPr>
          <w:p>
            <w:pPr>
              <w:spacing w:before="60" w:after="60"/>
            </w:pPr>
            <w:r>
              <w:rPr>
                <w:sz w:val="18"/>
              </w:rPr>
              <w:t>Monthly Performance Review</w:t>
            </w:r>
          </w:p>
        </w:tc>
      </w:tr>
    </w:tbl>
    <w:p/>
    <w:p>
      <w:pPr>
        <w:spacing w:before="200" w:after="120"/>
        <w:jc w:val="left"/>
      </w:pPr>
    </w:p>
    <w:p>
      <w:pPr>
        <w:spacing w:before="80" w:after="120"/>
        <w:jc w:val="center"/>
      </w:pPr>
      <w:r>
        <w:rPr>
          <w:b w:val="0"/>
          <w:i w:val="0"/>
          <w:color w:val="444444"/>
          <w:sz w:val="19"/>
        </w:rPr>
        <w:t>This report summarises corrosion control, scale control, microbial control, water efficiency, product efficiency, and proactive system support for Candler Hospital Savannah GA (US), August 2026, using controller setpoints, telemetry KPIs, field data, and service note records.</w:t>
      </w:r>
    </w:p>
    <w:p>
      <w:pPr>
        <w:spacing w:before="200" w:after="120"/>
        <w:jc w:val="left"/>
      </w:pPr>
    </w:p>
    <w:tbl>
      <w:tblPr>
        <w:tblStyle w:val="TableGrid"/>
        <w:tblW w:type="auto" w:w="0"/>
        <w:tblLook w:firstColumn="1" w:firstRow="1" w:lastColumn="0" w:lastRow="0" w:noHBand="0" w:noVBand="1" w:val="04A0"/>
      </w:tblPr>
      <w:tblGrid>
        <w:gridCol w:w="3362"/>
        <w:gridCol w:w="3362"/>
        <w:gridCol w:w="3362"/>
      </w:tblGrid>
      <w:tr>
        <w:tc>
          <w:tcPr>
            <w:tcW w:type="dxa" w:w="3118"/>
            <w:shd w:val="clear" w:color="auto" w:fill="00857C"/>
          </w:tcPr>
          <w:p>
            <w:pPr>
              <w:spacing w:before="60" w:after="60"/>
            </w:pPr>
            <w:r>
              <w:rPr>
                <w:b/>
                <w:color w:val="FFFFFF"/>
                <w:sz w:val="18"/>
              </w:rPr>
              <w:t>Prepared By</w:t>
            </w:r>
          </w:p>
        </w:tc>
        <w:tc>
          <w:tcPr>
            <w:tcW w:type="dxa" w:w="2835"/>
            <w:shd w:val="clear" w:color="auto" w:fill="00857C"/>
          </w:tcPr>
          <w:p>
            <w:pPr>
              <w:spacing w:before="60" w:after="60"/>
            </w:pPr>
            <w:r>
              <w:rPr>
                <w:b/>
                <w:color w:val="FFFFFF"/>
                <w:sz w:val="18"/>
              </w:rPr>
              <w:t>Prepared Date</w:t>
            </w:r>
          </w:p>
        </w:tc>
        <w:tc>
          <w:tcPr>
            <w:tcW w:type="dxa" w:w="3402"/>
            <w:shd w:val="clear" w:color="auto" w:fill="00857C"/>
          </w:tcPr>
          <w:p>
            <w:pPr>
              <w:spacing w:before="60" w:after="60"/>
            </w:pPr>
            <w:r>
              <w:rPr>
                <w:b/>
                <w:color w:val="FFFFFF"/>
                <w:sz w:val="18"/>
              </w:rPr>
              <w:t>Report Status</w:t>
            </w:r>
          </w:p>
        </w:tc>
      </w:tr>
      <w:tr>
        <w:tc>
          <w:tcPr>
            <w:tcW w:type="dxa" w:w="3118"/>
            <w:shd w:val="clear" w:color="auto" w:fill="FFFFFF"/>
          </w:tcPr>
          <w:p>
            <w:pPr>
              <w:spacing w:before="60" w:after="60"/>
            </w:pPr>
            <w:r>
              <w:rPr>
                <w:sz w:val="18"/>
              </w:rPr>
              <w:t>Buckman Digital Water</w:t>
            </w:r>
          </w:p>
        </w:tc>
        <w:tc>
          <w:tcPr>
            <w:tcW w:type="dxa" w:w="2835"/>
            <w:shd w:val="clear" w:color="auto" w:fill="FFFFFF"/>
          </w:tcPr>
          <w:p>
            <w:pPr>
              <w:spacing w:before="60" w:after="60"/>
            </w:pPr>
            <w:r>
              <w:rPr>
                <w:sz w:val="18"/>
              </w:rPr>
              <w:t>21 September 2026</w:t>
            </w:r>
          </w:p>
        </w:tc>
        <w:tc>
          <w:tcPr>
            <w:tcW w:type="dxa" w:w="3402"/>
            <w:shd w:val="clear" w:color="auto" w:fill="FFFFFF"/>
          </w:tcPr>
          <w:p>
            <w:pPr>
              <w:spacing w:before="60" w:after="60"/>
            </w:pPr>
            <w:r>
              <w:rPr>
                <w:sz w:val="18"/>
              </w:rPr>
              <w:t>Draft</w:t>
            </w:r>
          </w:p>
        </w:tc>
      </w:tr>
    </w:tbl>
    <w:p/>
    <w:p>
      <w:r>
        <w:br w:type="page"/>
      </w:r>
    </w:p>
    <w:p>
      <w:pPr>
        <w:pBdr>
          <w:bottom w:val="single" w:sz="8" w:space="4" w:color="00857C"/>
        </w:pBdr>
        <w:spacing w:before="280" w:after="80"/>
      </w:pPr>
      <w:r>
        <w:rPr>
          <w:b/>
          <w:color w:val="00857C"/>
          <w:sz w:val="32"/>
        </w:rPr>
        <w:t>Executive Summary</w:t>
      </w:r>
    </w:p>
    <w:p>
      <w:pPr>
        <w:spacing w:before="200" w:after="60"/>
      </w:pPr>
      <w:r>
        <w:rPr>
          <w:b/>
          <w:color w:val="005F58"/>
          <w:sz w:val="26"/>
        </w:rPr>
        <w:t>System Health Check</w:t>
      </w:r>
    </w:p>
    <w:p>
      <w:pPr>
        <w:spacing w:before="160" w:after="40"/>
      </w:pPr>
      <w:r>
        <w:rPr>
          <w:b/>
          <w:color w:val="222222"/>
          <w:sz w:val="22"/>
        </w:rPr>
        <w:t>Corrosion Control</w:t>
      </w:r>
    </w:p>
    <w:p>
      <w:pPr>
        <w:spacing w:before="60" w:after="100"/>
      </w:pPr>
      <w:r>
        <w:rPr>
          <w:b/>
          <w:sz w:val="20"/>
        </w:rPr>
        <w:t xml:space="preserve">Status: </w:t>
      </w:r>
      <w:r>
        <w:rPr>
          <w:b/>
          <w:color w:val="00857C"/>
          <w:sz w:val="20"/>
        </w:rPr>
        <w:t>Excellent</w:t>
      </w:r>
    </w:p>
    <w:p>
      <w:pPr>
        <w:spacing w:before="80" w:after="120"/>
        <w:jc w:val="left"/>
      </w:pPr>
      <w:r>
        <w:rPr>
          <w:b w:val="0"/>
          <w:i w:val="0"/>
          <w:sz w:val="20"/>
        </w:rPr>
        <w:t>During the reporting period, the system remained under good control. The mild steel and copper corrosion rates averaged 0.51 mpy and 0.11 mpy, respectively, both of which are well within the recommended limits of &lt;5 mpy and &lt;0.5 mpy.</w:t>
      </w:r>
    </w:p>
    <w:p>
      <w:pPr>
        <w:spacing w:before="160" w:after="40"/>
      </w:pPr>
      <w:r>
        <w:rPr>
          <w:b/>
          <w:color w:val="222222"/>
          <w:sz w:val="22"/>
        </w:rPr>
        <w:t>Scale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Traced Product was within the recommended range for 41.8% of the reporting month. Polymer consumption rate averaged 50.7% and increased from 48.2% at the start of the month to 53.9% at the end of the month. Conductivity was within the recommended range for 10.1% of the reporting month. End-of-month Traced Product was 6.1% higher than the setpoint, and conductivity was also not maintained, so the product trend should be treated as conductivity-related until cycles, blowdown, makeup, or dilution behavior is corrected. Conductivity was below its setpoint configuration range for most of the same period, so water loss, dilution, or blowdown/makeup behavior should be inspected during the upcoming service visit. Because polymer consumption increased by more than 5%, phosphate residual will be checked during the upcoming service visit.</w:t>
      </w:r>
    </w:p>
    <w:p>
      <w:pPr>
        <w:spacing w:before="160" w:after="40"/>
      </w:pPr>
      <w:r>
        <w:rPr>
          <w:b/>
          <w:color w:val="222222"/>
          <w:sz w:val="22"/>
        </w:rPr>
        <w:t>Microbial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Insufficient ORP spike was observed during oxidizing biocide application, so oxidizing biocide feed response should be reviewed during the upcoming service visit. FRC and dip-slide will be analysed in the upcoming visit to ensure good microbial control.</w:t>
      </w:r>
    </w:p>
    <w:p>
      <w:pPr>
        <w:spacing w:before="200" w:after="60"/>
      </w:pPr>
      <w:r>
        <w:rPr>
          <w:b/>
          <w:color w:val="005F58"/>
          <w:sz w:val="26"/>
        </w:rPr>
        <w:t>Water Efficiency</w:t>
      </w:r>
    </w:p>
    <w:p>
      <w:pPr>
        <w:spacing w:before="60" w:after="100"/>
      </w:pPr>
      <w:r>
        <w:rPr>
          <w:b/>
          <w:sz w:val="20"/>
        </w:rPr>
        <w:t xml:space="preserve">Status: </w:t>
      </w:r>
      <w:r>
        <w:rPr>
          <w:b/>
          <w:color w:val="B8860B"/>
          <w:sz w:val="20"/>
        </w:rPr>
        <w:t>Acceptable</w:t>
      </w:r>
    </w:p>
    <w:tbl>
      <w:tblPr>
        <w:tblStyle w:val="TableGrid"/>
        <w:tblW w:type="auto" w:w="0"/>
        <w:tblLook w:firstColumn="1" w:firstRow="1" w:lastColumn="0" w:lastRow="0" w:noHBand="0" w:noVBand="1" w:val="04A0"/>
      </w:tblPr>
      <w:tblGrid>
        <w:gridCol w:w="2017"/>
        <w:gridCol w:w="2017"/>
        <w:gridCol w:w="2017"/>
        <w:gridCol w:w="2017"/>
        <w:gridCol w:w="2017"/>
      </w:tblGrid>
      <w:tr>
        <w:tc>
          <w:tcPr>
            <w:tcW w:type="dxa" w:w="1928"/>
            <w:shd w:val="clear" w:color="auto" w:fill="00857C"/>
          </w:tcPr>
          <w:p>
            <w:pPr>
              <w:spacing w:before="60" w:after="60"/>
            </w:pPr>
            <w:r>
              <w:rPr>
                <w:b/>
                <w:color w:val="FFFFFF"/>
                <w:sz w:val="18"/>
              </w:rPr>
              <w:t>MU Conductivity</w:t>
            </w:r>
          </w:p>
        </w:tc>
        <w:tc>
          <w:tcPr>
            <w:tcW w:type="dxa" w:w="1928"/>
            <w:shd w:val="clear" w:color="auto" w:fill="00857C"/>
          </w:tcPr>
          <w:p>
            <w:pPr>
              <w:spacing w:before="60" w:after="60"/>
            </w:pPr>
            <w:r>
              <w:rPr>
                <w:b/>
                <w:color w:val="FFFFFF"/>
                <w:sz w:val="18"/>
              </w:rPr>
              <w:t>Target COC</w:t>
            </w:r>
          </w:p>
        </w:tc>
        <w:tc>
          <w:tcPr>
            <w:tcW w:type="dxa" w:w="1928"/>
            <w:shd w:val="clear" w:color="auto" w:fill="00857C"/>
          </w:tcPr>
          <w:p>
            <w:pPr>
              <w:spacing w:before="60" w:after="60"/>
            </w:pPr>
            <w:r>
              <w:rPr>
                <w:b/>
                <w:color w:val="FFFFFF"/>
                <w:sz w:val="18"/>
              </w:rPr>
              <w:t>Actual COC</w:t>
            </w:r>
          </w:p>
        </w:tc>
        <w:tc>
          <w:tcPr>
            <w:tcW w:type="dxa" w:w="1928"/>
            <w:shd w:val="clear" w:color="auto" w:fill="00857C"/>
          </w:tcPr>
          <w:p>
            <w:pPr>
              <w:spacing w:before="60" w:after="60"/>
            </w:pPr>
            <w:r>
              <w:rPr>
                <w:b/>
                <w:color w:val="FFFFFF"/>
                <w:sz w:val="18"/>
              </w:rPr>
              <w:t>Deviation</w:t>
            </w:r>
          </w:p>
        </w:tc>
        <w:tc>
          <w:tcPr>
            <w:tcW w:type="dxa" w:w="1928"/>
            <w:shd w:val="clear" w:color="auto" w:fill="00857C"/>
          </w:tcPr>
          <w:p>
            <w:pPr>
              <w:spacing w:before="60" w:after="60"/>
            </w:pPr>
            <w:r>
              <w:rPr>
                <w:b/>
                <w:color w:val="FFFFFF"/>
                <w:sz w:val="18"/>
              </w:rPr>
              <w:t>Status</w:t>
            </w:r>
          </w:p>
        </w:tc>
      </w:tr>
      <w:tr>
        <w:tc>
          <w:tcPr>
            <w:tcW w:type="dxa" w:w="1928"/>
            <w:shd w:val="clear" w:color="auto" w:fill="FFFFFF"/>
          </w:tcPr>
          <w:p>
            <w:pPr>
              <w:spacing w:before="60" w:after="60"/>
            </w:pPr>
            <w:r>
              <w:rPr>
                <w:sz w:val="18"/>
              </w:rPr>
              <w:t>300.0 µS/cm</w:t>
            </w:r>
          </w:p>
        </w:tc>
        <w:tc>
          <w:tcPr>
            <w:tcW w:type="dxa" w:w="1928"/>
            <w:shd w:val="clear" w:color="auto" w:fill="FFFFFF"/>
          </w:tcPr>
          <w:p>
            <w:pPr>
              <w:spacing w:before="60" w:after="60"/>
            </w:pPr>
            <w:r>
              <w:rPr>
                <w:sz w:val="18"/>
              </w:rPr>
              <w:t>2.0</w:t>
            </w:r>
          </w:p>
        </w:tc>
        <w:tc>
          <w:tcPr>
            <w:tcW w:type="dxa" w:w="1928"/>
            <w:shd w:val="clear" w:color="auto" w:fill="FFFFFF"/>
          </w:tcPr>
          <w:p>
            <w:pPr>
              <w:spacing w:before="60" w:after="60"/>
            </w:pPr>
            <w:r>
              <w:rPr>
                <w:sz w:val="18"/>
              </w:rPr>
              <w:t>1.59</w:t>
            </w:r>
          </w:p>
        </w:tc>
        <w:tc>
          <w:tcPr>
            <w:tcW w:type="dxa" w:w="1928"/>
            <w:shd w:val="clear" w:color="auto" w:fill="FFFFFF"/>
          </w:tcPr>
          <w:p>
            <w:pPr>
              <w:spacing w:before="60" w:after="60"/>
            </w:pPr>
            <w:r>
              <w:rPr>
                <w:sz w:val="18"/>
              </w:rPr>
              <w:t>20.4%</w:t>
            </w:r>
          </w:p>
        </w:tc>
        <w:tc>
          <w:tcPr>
            <w:tcW w:type="dxa" w:w="1928"/>
            <w:shd w:val="clear" w:color="auto" w:fill="FFFFFF"/>
          </w:tcPr>
          <w:p>
            <w:pPr>
              <w:spacing w:before="60" w:after="60"/>
            </w:pPr>
            <w:r>
              <w:rPr>
                <w:sz w:val="18"/>
              </w:rPr>
              <w:t>Acceptable</w:t>
            </w:r>
          </w:p>
        </w:tc>
      </w:tr>
    </w:tbl>
    <w:p/>
    <w:tbl>
      <w:tblPr>
        <w:tblStyle w:val="TableGrid"/>
        <w:tblW w:type="auto" w:w="0"/>
        <w:tblLook w:firstColumn="1" w:firstRow="1" w:lastColumn="0" w:lastRow="0" w:noHBand="0" w:noVBand="1" w:val="04A0"/>
      </w:tblPr>
      <w:tblGrid>
        <w:gridCol w:w="1681"/>
        <w:gridCol w:w="1681"/>
        <w:gridCol w:w="1681"/>
        <w:gridCol w:w="1681"/>
        <w:gridCol w:w="1681"/>
        <w:gridCol w:w="1681"/>
      </w:tblGrid>
      <w:tr>
        <w:tc>
          <w:tcPr>
            <w:tcW w:type="dxa" w:w="1928"/>
            <w:shd w:val="clear" w:color="auto" w:fill="00857C"/>
          </w:tcPr>
          <w:p>
            <w:pPr>
              <w:spacing w:before="60" w:after="60"/>
            </w:pPr>
            <w:r>
              <w:rPr>
                <w:b/>
                <w:color w:val="FFFFFF"/>
                <w:sz w:val="18"/>
              </w:rPr>
              <w:t>System</w:t>
            </w:r>
          </w:p>
        </w:tc>
        <w:tc>
          <w:tcPr>
            <w:tcW w:type="dxa" w:w="1247"/>
            <w:shd w:val="clear" w:color="auto" w:fill="00857C"/>
          </w:tcPr>
          <w:p>
            <w:pPr>
              <w:spacing w:before="60" w:after="60"/>
            </w:pPr>
            <w:r>
              <w:rPr>
                <w:b/>
                <w:color w:val="FFFFFF"/>
                <w:sz w:val="18"/>
              </w:rPr>
              <w:t>Current COC</w:t>
            </w:r>
          </w:p>
        </w:tc>
        <w:tc>
          <w:tcPr>
            <w:tcW w:type="dxa" w:w="1247"/>
            <w:shd w:val="clear" w:color="auto" w:fill="00857C"/>
          </w:tcPr>
          <w:p>
            <w:pPr>
              <w:spacing w:before="60" w:after="60"/>
            </w:pPr>
            <w:r>
              <w:rPr>
                <w:b/>
                <w:color w:val="FFFFFF"/>
                <w:sz w:val="18"/>
              </w:rPr>
              <w:t>Target COC</w:t>
            </w:r>
          </w:p>
        </w:tc>
        <w:tc>
          <w:tcPr>
            <w:tcW w:type="dxa" w:w="1247"/>
            <w:shd w:val="clear" w:color="auto" w:fill="00857C"/>
          </w:tcPr>
          <w:p>
            <w:pPr>
              <w:spacing w:before="60" w:after="60"/>
            </w:pPr>
            <w:r>
              <w:rPr>
                <w:b/>
                <w:color w:val="FFFFFF"/>
                <w:sz w:val="18"/>
              </w:rPr>
              <w:t>Decrease</w:t>
            </w:r>
          </w:p>
        </w:tc>
        <w:tc>
          <w:tcPr>
            <w:tcW w:type="dxa" w:w="2041"/>
            <w:shd w:val="clear" w:color="auto" w:fill="00857C"/>
          </w:tcPr>
          <w:p>
            <w:pPr>
              <w:spacing w:before="60" w:after="60"/>
            </w:pPr>
            <w:r>
              <w:rPr>
                <w:b/>
                <w:color w:val="FFFFFF"/>
                <w:sz w:val="18"/>
              </w:rPr>
              <w:t>Annual Water Loss</w:t>
            </w:r>
          </w:p>
        </w:tc>
        <w:tc>
          <w:tcPr>
            <w:tcW w:type="dxa" w:w="1928"/>
            <w:shd w:val="clear" w:color="auto" w:fill="00857C"/>
          </w:tcPr>
          <w:p>
            <w:pPr>
              <w:spacing w:before="60" w:after="60"/>
            </w:pPr>
            <w:r>
              <w:rPr>
                <w:b/>
                <w:color w:val="FFFFFF"/>
                <w:sz w:val="18"/>
              </w:rPr>
              <w:t>Estimated Cost</w:t>
            </w:r>
          </w:p>
        </w:tc>
      </w:tr>
      <w:tr>
        <w:tc>
          <w:tcPr>
            <w:tcW w:type="dxa" w:w="1928"/>
            <w:shd w:val="clear" w:color="auto" w:fill="FFFFFF"/>
          </w:tcPr>
          <w:p>
            <w:pPr>
              <w:spacing w:before="60" w:after="60"/>
            </w:pPr>
            <w:r>
              <w:rPr>
                <w:sz w:val="18"/>
              </w:rPr>
              <w:t>Candler Hospital_ACM</w:t>
            </w:r>
          </w:p>
        </w:tc>
        <w:tc>
          <w:tcPr>
            <w:tcW w:type="dxa" w:w="1247"/>
            <w:shd w:val="clear" w:color="auto" w:fill="FFFFFF"/>
          </w:tcPr>
          <w:p>
            <w:pPr>
              <w:spacing w:before="60" w:after="60"/>
            </w:pPr>
            <w:r>
              <w:rPr>
                <w:sz w:val="18"/>
              </w:rPr>
              <w:t>1.59</w:t>
            </w:r>
          </w:p>
        </w:tc>
        <w:tc>
          <w:tcPr>
            <w:tcW w:type="dxa" w:w="1247"/>
            <w:shd w:val="clear" w:color="auto" w:fill="FFFFFF"/>
          </w:tcPr>
          <w:p>
            <w:pPr>
              <w:spacing w:before="60" w:after="60"/>
            </w:pPr>
            <w:r>
              <w:rPr>
                <w:sz w:val="18"/>
              </w:rPr>
              <w:t>2.00</w:t>
            </w:r>
          </w:p>
        </w:tc>
        <w:tc>
          <w:tcPr>
            <w:tcW w:type="dxa" w:w="1247"/>
            <w:shd w:val="clear" w:color="auto" w:fill="FFFFFF"/>
          </w:tcPr>
          <w:p>
            <w:pPr>
              <w:spacing w:before="60" w:after="60"/>
            </w:pPr>
            <w:r>
              <w:rPr>
                <w:sz w:val="18"/>
              </w:rPr>
              <w:t>20.5%</w:t>
            </w:r>
          </w:p>
        </w:tc>
        <w:tc>
          <w:tcPr>
            <w:tcW w:type="dxa" w:w="2041"/>
            <w:shd w:val="clear" w:color="auto" w:fill="FFFFFF"/>
          </w:tcPr>
          <w:p>
            <w:pPr>
              <w:spacing w:before="60" w:after="60"/>
            </w:pPr>
            <w:r>
              <w:rPr>
                <w:sz w:val="18"/>
              </w:rPr>
              <w:t>2,561,298 gal/year</w:t>
            </w:r>
          </w:p>
        </w:tc>
        <w:tc>
          <w:tcPr>
            <w:tcW w:type="dxa" w:w="1928"/>
            <w:shd w:val="clear" w:color="auto" w:fill="FFFFFF"/>
          </w:tcPr>
          <w:p>
            <w:pPr>
              <w:spacing w:before="60" w:after="60"/>
            </w:pPr>
            <w:r>
              <w:rPr>
                <w:sz w:val="18"/>
              </w:rPr>
              <w:t>$128,064.89/year</w:t>
            </w:r>
          </w:p>
        </w:tc>
      </w:tr>
    </w:tbl>
    <w:p/>
    <w:p>
      <w:pPr>
        <w:spacing w:before="80" w:after="120"/>
        <w:jc w:val="left"/>
      </w:pPr>
      <w:r>
        <w:rPr>
          <w:b w:val="0"/>
          <w:i w:val="0"/>
          <w:sz w:val="20"/>
        </w:rPr>
        <w:t>Because current COC is more than 20% below the value-creation Target COC, estimated avoidable makeup water is 2,561,298 gallons per annum. At a makeup water cost of $5 per 100 gallons, the estimated annual savings opportunity is $128,064.89.</w:t>
      </w:r>
    </w:p>
    <w:p>
      <w:pPr>
        <w:spacing w:before="80" w:after="120"/>
        <w:jc w:val="left"/>
      </w:pPr>
      <w:r>
        <w:rPr>
          <w:b w:val="0"/>
          <w:i w:val="0"/>
          <w:sz w:val="20"/>
        </w:rPr>
        <w:t>Water efficiency was Critical. Conductivity averaged 477.35 uS/cm against the 570.00-630.00 uS/cm Controller Setpoint range, with only 10.1% of readings in range. Conductivity increased from about 381.2 uS/cm early in the month to 573.4 uS/cm later, but the monthly average remained below the configured range. Dilution, water loss, excess blowdown, or makeup changes should be reviewed.</w:t>
      </w:r>
    </w:p>
    <w:p>
      <w:pPr>
        <w:spacing w:before="200" w:after="60"/>
      </w:pPr>
      <w:r>
        <w:rPr>
          <w:b/>
          <w:color w:val="005F58"/>
          <w:sz w:val="26"/>
        </w:rPr>
        <w:t>Product Efficiency</w:t>
      </w:r>
    </w:p>
    <w:p>
      <w:pPr>
        <w:spacing w:before="60" w:after="100"/>
      </w:pPr>
      <w:r>
        <w:rPr>
          <w:b/>
          <w:sz w:val="20"/>
        </w:rPr>
        <w:t xml:space="preserve">Status: </w:t>
      </w:r>
      <w:r>
        <w:rPr>
          <w:b/>
          <w:color w:val="B8860B"/>
          <w:sz w:val="20"/>
        </w:rPr>
        <w:t>Acceptable</w:t>
      </w:r>
    </w:p>
    <w:p>
      <w:pPr>
        <w:spacing w:before="80" w:after="120"/>
        <w:jc w:val="left"/>
      </w:pPr>
      <w:r>
        <w:rPr>
          <w:b w:val="0"/>
          <w:i w:val="0"/>
          <w:sz w:val="20"/>
        </w:rPr>
        <w:t>Product efficiency needs attention because Traced Product averaged 73.90 ppm against the 70.00 ppm setpoint and the 67.00-73.00 ppm control range. Because conductivity was also not maintained, product control should be reviewed together with cycles, blowdown, makeup, and dilution behavior before changing feed settings.</w:t>
      </w:r>
    </w:p>
    <w:p>
      <w:pPr>
        <w:spacing w:before="200" w:after="60"/>
      </w:pPr>
      <w:r>
        <w:rPr>
          <w:b/>
          <w:color w:val="005F58"/>
          <w:sz w:val="26"/>
        </w:rPr>
        <w:t>Proactive System Support</w:t>
      </w:r>
    </w:p>
    <w:p>
      <w:pPr>
        <w:spacing w:before="80" w:after="120"/>
        <w:jc w:val="left"/>
      </w:pPr>
      <w:r>
        <w:rPr>
          <w:b w:val="0"/>
          <w:i w:val="0"/>
          <w:sz w:val="20"/>
        </w:rPr>
        <w:t>No service notes were recorded for the August reporting period. Recommended follow-up: Confirm inhibitor residual, inspect for deposit activity, and compare corrosion movement with ORP and product trends. Traced Product was not maintained while conductivity was also not maintained, so treat the product issue as conductivity-related and check cycles, blowdown, makeup, and dilution behavior first. Review makeup conductivity and blowdown control because cycles of concentration are still deviating from target. Check FRC during the upcoming service visit to confirm oxidizing biocide residual. Measure dip-slide CFU during the upcoming service visit to confirm microbial control. Verify phosphate and silica residuals during the next service visit.</w:t>
      </w:r>
    </w:p>
    <w:p>
      <w:r>
        <w:br w:type="page"/>
      </w:r>
    </w:p>
    <w:p>
      <w:pPr>
        <w:pBdr>
          <w:bottom w:val="single" w:sz="8" w:space="4" w:color="00857C"/>
        </w:pBdr>
        <w:spacing w:before="280" w:after="80"/>
      </w:pPr>
      <w:r>
        <w:rPr>
          <w:b/>
          <w:color w:val="00857C"/>
          <w:sz w:val="32"/>
        </w:rPr>
        <w:t>Performance Summary</w:t>
      </w:r>
    </w:p>
    <w:p>
      <w:pPr>
        <w:spacing w:before="80" w:after="120"/>
        <w:jc w:val="left"/>
      </w:pPr>
      <w:r>
        <w:rPr>
          <w:b w:val="0"/>
          <w:i/>
          <w:color w:val="444444"/>
          <w:sz w:val="18"/>
        </w:rPr>
        <w:t>Controller Setpoints are used as control limits below. % In Range is calculated from the full reporting month telemetry.</w:t>
      </w:r>
    </w:p>
    <w:tbl>
      <w:tblPr>
        <w:tblStyle w:val="TableGrid"/>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814"/>
            <w:shd w:val="clear" w:color="auto" w:fill="00857C"/>
          </w:tcPr>
          <w:p>
            <w:pPr>
              <w:spacing w:before="60" w:after="60"/>
            </w:pPr>
            <w:r>
              <w:rPr>
                <w:b/>
                <w:color w:val="FFFFFF"/>
                <w:sz w:val="18"/>
              </w:rPr>
              <w:t>Parameter</w:t>
            </w:r>
          </w:p>
        </w:tc>
        <w:tc>
          <w:tcPr>
            <w:tcW w:type="dxa" w:w="1247"/>
            <w:shd w:val="clear" w:color="auto" w:fill="00857C"/>
          </w:tcPr>
          <w:p>
            <w:pPr>
              <w:spacing w:before="60" w:after="60"/>
            </w:pPr>
            <w:r>
              <w:rPr>
                <w:b/>
                <w:color w:val="FFFFFF"/>
                <w:sz w:val="18"/>
              </w:rPr>
              <w:t>Context Point</w:t>
            </w:r>
          </w:p>
        </w:tc>
        <w:tc>
          <w:tcPr>
            <w:tcW w:type="dxa" w:w="850"/>
            <w:shd w:val="clear" w:color="auto" w:fill="00857C"/>
          </w:tcPr>
          <w:p>
            <w:pPr>
              <w:spacing w:before="60" w:after="60"/>
            </w:pPr>
            <w:r>
              <w:rPr>
                <w:b/>
                <w:color w:val="FFFFFF"/>
                <w:sz w:val="18"/>
              </w:rPr>
              <w:t>Average</w:t>
            </w:r>
          </w:p>
        </w:tc>
        <w:tc>
          <w:tcPr>
            <w:tcW w:type="dxa" w:w="850"/>
            <w:shd w:val="clear" w:color="auto" w:fill="00857C"/>
          </w:tcPr>
          <w:p>
            <w:pPr>
              <w:spacing w:before="60" w:after="60"/>
            </w:pPr>
            <w:r>
              <w:rPr>
                <w:b/>
                <w:color w:val="FFFFFF"/>
                <w:sz w:val="18"/>
              </w:rPr>
              <w:t>Std Dev</w:t>
            </w:r>
          </w:p>
        </w:tc>
        <w:tc>
          <w:tcPr>
            <w:tcW w:type="dxa" w:w="794"/>
            <w:shd w:val="clear" w:color="auto" w:fill="00857C"/>
          </w:tcPr>
          <w:p>
            <w:pPr>
              <w:spacing w:before="60" w:after="60"/>
            </w:pPr>
            <w:r>
              <w:rPr>
                <w:b/>
                <w:color w:val="FFFFFF"/>
                <w:sz w:val="18"/>
              </w:rPr>
              <w:t>Min</w:t>
            </w:r>
          </w:p>
        </w:tc>
        <w:tc>
          <w:tcPr>
            <w:tcW w:type="dxa" w:w="794"/>
            <w:shd w:val="clear" w:color="auto" w:fill="00857C"/>
          </w:tcPr>
          <w:p>
            <w:pPr>
              <w:spacing w:before="60" w:after="60"/>
            </w:pPr>
            <w:r>
              <w:rPr>
                <w:b/>
                <w:color w:val="FFFFFF"/>
                <w:sz w:val="18"/>
              </w:rPr>
              <w:t>Max</w:t>
            </w:r>
          </w:p>
        </w:tc>
        <w:tc>
          <w:tcPr>
            <w:tcW w:type="dxa" w:w="964"/>
            <w:shd w:val="clear" w:color="auto" w:fill="00857C"/>
          </w:tcPr>
          <w:p>
            <w:pPr>
              <w:spacing w:before="60" w:after="60"/>
            </w:pPr>
            <w:r>
              <w:rPr>
                <w:b/>
                <w:color w:val="FFFFFF"/>
                <w:sz w:val="18"/>
              </w:rPr>
              <w:t>Lower Limit</w:t>
            </w:r>
          </w:p>
        </w:tc>
        <w:tc>
          <w:tcPr>
            <w:tcW w:type="dxa" w:w="964"/>
            <w:shd w:val="clear" w:color="auto" w:fill="00857C"/>
          </w:tcPr>
          <w:p>
            <w:pPr>
              <w:spacing w:before="60" w:after="60"/>
            </w:pPr>
            <w:r>
              <w:rPr>
                <w:b/>
                <w:color w:val="FFFFFF"/>
                <w:sz w:val="18"/>
              </w:rPr>
              <w:t>Upper Limit</w:t>
            </w:r>
          </w:p>
        </w:tc>
        <w:tc>
          <w:tcPr>
            <w:tcW w:type="dxa" w:w="1020"/>
            <w:shd w:val="clear" w:color="auto" w:fill="00857C"/>
          </w:tcPr>
          <w:p>
            <w:pPr>
              <w:spacing w:before="60" w:after="60"/>
            </w:pPr>
            <w:r>
              <w:rPr>
                <w:b/>
                <w:color w:val="FFFFFF"/>
                <w:sz w:val="18"/>
              </w:rPr>
              <w:t>% In Range</w:t>
            </w:r>
          </w:p>
        </w:tc>
        <w:tc>
          <w:tcPr>
            <w:tcW w:type="dxa" w:w="1247"/>
            <w:shd w:val="clear" w:color="auto" w:fill="00857C"/>
          </w:tcPr>
          <w:p>
            <w:pPr>
              <w:spacing w:before="60" w:after="60"/>
            </w:pPr>
            <w:r>
              <w:rPr>
                <w:b/>
                <w:color w:val="FFFFFF"/>
                <w:sz w:val="18"/>
              </w:rPr>
              <w:t>Status</w:t>
            </w:r>
          </w:p>
        </w:tc>
      </w:tr>
      <w:tr>
        <w:tc>
          <w:tcPr>
            <w:tcW w:type="dxa" w:w="1814"/>
            <w:shd w:val="clear" w:color="auto" w:fill="FFFFFF"/>
          </w:tcPr>
          <w:p>
            <w:pPr>
              <w:spacing w:before="60" w:after="60"/>
            </w:pPr>
            <w:r>
              <w:rPr>
                <w:sz w:val="18"/>
              </w:rPr>
              <w:t>Corrosion – MS (MPY)</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0.514</w:t>
            </w:r>
          </w:p>
        </w:tc>
        <w:tc>
          <w:tcPr>
            <w:tcW w:type="dxa" w:w="850"/>
            <w:shd w:val="clear" w:color="auto" w:fill="FFFFFF"/>
          </w:tcPr>
          <w:p>
            <w:pPr>
              <w:spacing w:before="60" w:after="60"/>
            </w:pPr>
            <w:r>
              <w:rPr>
                <w:sz w:val="18"/>
              </w:rPr>
              <w:t>0.105</w:t>
            </w:r>
          </w:p>
        </w:tc>
        <w:tc>
          <w:tcPr>
            <w:tcW w:type="dxa" w:w="794"/>
            <w:shd w:val="clear" w:color="auto" w:fill="FFFFFF"/>
          </w:tcPr>
          <w:p>
            <w:pPr>
              <w:spacing w:before="60" w:after="60"/>
            </w:pPr>
            <w:r>
              <w:rPr>
                <w:sz w:val="18"/>
              </w:rPr>
              <w:t>0.161</w:t>
            </w:r>
          </w:p>
        </w:tc>
        <w:tc>
          <w:tcPr>
            <w:tcW w:type="dxa" w:w="794"/>
            <w:shd w:val="clear" w:color="auto" w:fill="FFFFFF"/>
          </w:tcPr>
          <w:p>
            <w:pPr>
              <w:spacing w:before="60" w:after="60"/>
            </w:pPr>
            <w:r>
              <w:rPr>
                <w:sz w:val="18"/>
              </w:rPr>
              <w:t>0.895</w:t>
            </w:r>
          </w:p>
        </w:tc>
        <w:tc>
          <w:tcPr>
            <w:tcW w:type="dxa" w:w="964"/>
            <w:shd w:val="clear" w:color="auto" w:fill="FFFFFF"/>
          </w:tcPr>
          <w:p>
            <w:pPr>
              <w:spacing w:before="60" w:after="60"/>
            </w:pPr>
            <w:r>
              <w:rPr>
                <w:sz w:val="18"/>
              </w:rPr>
              <w:t>0.00</w:t>
            </w:r>
          </w:p>
        </w:tc>
        <w:tc>
          <w:tcPr>
            <w:tcW w:type="dxa" w:w="964"/>
            <w:shd w:val="clear" w:color="auto" w:fill="FFFFFF"/>
          </w:tcPr>
          <w:p>
            <w:pPr>
              <w:spacing w:before="60" w:after="60"/>
            </w:pPr>
            <w:r>
              <w:rPr>
                <w:sz w:val="18"/>
              </w:rPr>
              <w:t>3.00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 Excellent</w:t>
            </w:r>
          </w:p>
        </w:tc>
      </w:tr>
      <w:tr>
        <w:tc>
          <w:tcPr>
            <w:tcW w:type="dxa" w:w="1814"/>
            <w:shd w:val="clear" w:color="auto" w:fill="F2F8F7"/>
          </w:tcPr>
          <w:p>
            <w:pPr>
              <w:spacing w:before="60" w:after="60"/>
            </w:pPr>
            <w:r>
              <w:rPr>
                <w:sz w:val="18"/>
              </w:rPr>
              <w:t>Corrosion – Cu (MPY)</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0.114</w:t>
            </w:r>
          </w:p>
        </w:tc>
        <w:tc>
          <w:tcPr>
            <w:tcW w:type="dxa" w:w="850"/>
            <w:shd w:val="clear" w:color="auto" w:fill="F2F8F7"/>
          </w:tcPr>
          <w:p>
            <w:pPr>
              <w:spacing w:before="60" w:after="60"/>
            </w:pPr>
            <w:r>
              <w:rPr>
                <w:sz w:val="18"/>
              </w:rPr>
              <w:t>0.058</w:t>
            </w:r>
          </w:p>
        </w:tc>
        <w:tc>
          <w:tcPr>
            <w:tcW w:type="dxa" w:w="794"/>
            <w:shd w:val="clear" w:color="auto" w:fill="F2F8F7"/>
          </w:tcPr>
          <w:p>
            <w:pPr>
              <w:spacing w:before="60" w:after="60"/>
            </w:pPr>
            <w:r>
              <w:rPr>
                <w:sz w:val="18"/>
              </w:rPr>
              <w:t>0.017</w:t>
            </w:r>
          </w:p>
        </w:tc>
        <w:tc>
          <w:tcPr>
            <w:tcW w:type="dxa" w:w="794"/>
            <w:shd w:val="clear" w:color="auto" w:fill="F2F8F7"/>
          </w:tcPr>
          <w:p>
            <w:pPr>
              <w:spacing w:before="60" w:after="60"/>
            </w:pPr>
            <w:r>
              <w:rPr>
                <w:sz w:val="18"/>
              </w:rPr>
              <w:t>0.260</w:t>
            </w:r>
          </w:p>
        </w:tc>
        <w:tc>
          <w:tcPr>
            <w:tcW w:type="dxa" w:w="964"/>
            <w:shd w:val="clear" w:color="auto" w:fill="F2F8F7"/>
          </w:tcPr>
          <w:p>
            <w:pPr>
              <w:spacing w:before="60" w:after="60"/>
            </w:pPr>
            <w:r>
              <w:rPr>
                <w:sz w:val="18"/>
              </w:rPr>
              <w:t>0.00</w:t>
            </w:r>
          </w:p>
        </w:tc>
        <w:tc>
          <w:tcPr>
            <w:tcW w:type="dxa" w:w="964"/>
            <w:shd w:val="clear" w:color="auto" w:fill="F2F8F7"/>
          </w:tcPr>
          <w:p>
            <w:pPr>
              <w:spacing w:before="60" w:after="60"/>
            </w:pPr>
            <w:r>
              <w:rPr>
                <w:sz w:val="18"/>
              </w:rPr>
              <w:t>0.50</w:t>
            </w:r>
          </w:p>
        </w:tc>
        <w:tc>
          <w:tcPr>
            <w:tcW w:type="dxa" w:w="1020"/>
            <w:shd w:val="clear" w:color="auto" w:fill="F2F8F7"/>
          </w:tcPr>
          <w:p>
            <w:pPr>
              <w:spacing w:before="60" w:after="60"/>
            </w:pPr>
            <w:r>
              <w:rPr>
                <w:sz w:val="18"/>
              </w:rPr>
              <w:t>100.0%</w:t>
            </w:r>
          </w:p>
        </w:tc>
        <w:tc>
          <w:tcPr>
            <w:tcW w:type="dxa" w:w="1247"/>
            <w:shd w:val="clear" w:color="auto" w:fill="F2F8F7"/>
          </w:tcPr>
          <w:p>
            <w:pPr>
              <w:spacing w:before="60" w:after="60"/>
            </w:pPr>
            <w:r>
              <w:rPr>
                <w:sz w:val="18"/>
              </w:rPr>
              <w:t>✓ Excellent</w:t>
            </w:r>
          </w:p>
        </w:tc>
      </w:tr>
      <w:tr>
        <w:tc>
          <w:tcPr>
            <w:tcW w:type="dxa" w:w="1814"/>
            <w:shd w:val="clear" w:color="auto" w:fill="FFFFFF"/>
          </w:tcPr>
          <w:p>
            <w:pPr>
              <w:spacing w:before="60" w:after="60"/>
            </w:pPr>
            <w:r>
              <w:rPr>
                <w:sz w:val="18"/>
              </w:rPr>
              <w:t>Traced Product (ppm)</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73.896</w:t>
            </w:r>
          </w:p>
        </w:tc>
        <w:tc>
          <w:tcPr>
            <w:tcW w:type="dxa" w:w="850"/>
            <w:shd w:val="clear" w:color="auto" w:fill="FFFFFF"/>
          </w:tcPr>
          <w:p>
            <w:pPr>
              <w:spacing w:before="60" w:after="60"/>
            </w:pPr>
            <w:r>
              <w:rPr>
                <w:sz w:val="18"/>
              </w:rPr>
              <w:t>4.547</w:t>
            </w:r>
          </w:p>
        </w:tc>
        <w:tc>
          <w:tcPr>
            <w:tcW w:type="dxa" w:w="794"/>
            <w:shd w:val="clear" w:color="auto" w:fill="FFFFFF"/>
          </w:tcPr>
          <w:p>
            <w:pPr>
              <w:spacing w:before="60" w:after="60"/>
            </w:pPr>
            <w:r>
              <w:rPr>
                <w:sz w:val="18"/>
              </w:rPr>
              <w:t>66.258</w:t>
            </w:r>
          </w:p>
        </w:tc>
        <w:tc>
          <w:tcPr>
            <w:tcW w:type="dxa" w:w="794"/>
            <w:shd w:val="clear" w:color="auto" w:fill="FFFFFF"/>
          </w:tcPr>
          <w:p>
            <w:pPr>
              <w:spacing w:before="60" w:after="60"/>
            </w:pPr>
            <w:r>
              <w:rPr>
                <w:sz w:val="18"/>
              </w:rPr>
              <w:t>85.742</w:t>
            </w:r>
          </w:p>
        </w:tc>
        <w:tc>
          <w:tcPr>
            <w:tcW w:type="dxa" w:w="964"/>
            <w:shd w:val="clear" w:color="auto" w:fill="FFFFFF"/>
          </w:tcPr>
          <w:p>
            <w:pPr>
              <w:spacing w:before="60" w:after="60"/>
            </w:pPr>
            <w:r>
              <w:rPr>
                <w:sz w:val="18"/>
              </w:rPr>
              <w:t>67.0</w:t>
            </w:r>
          </w:p>
        </w:tc>
        <w:tc>
          <w:tcPr>
            <w:tcW w:type="dxa" w:w="964"/>
            <w:shd w:val="clear" w:color="auto" w:fill="FFFFFF"/>
          </w:tcPr>
          <w:p>
            <w:pPr>
              <w:spacing w:before="60" w:after="60"/>
            </w:pPr>
            <w:r>
              <w:rPr>
                <w:sz w:val="18"/>
              </w:rPr>
              <w:t>73.0</w:t>
            </w:r>
          </w:p>
        </w:tc>
        <w:tc>
          <w:tcPr>
            <w:tcW w:type="dxa" w:w="1020"/>
            <w:shd w:val="clear" w:color="auto" w:fill="FFFFFF"/>
          </w:tcPr>
          <w:p>
            <w:pPr>
              <w:spacing w:before="60" w:after="60"/>
            </w:pPr>
            <w:r>
              <w:rPr>
                <w:sz w:val="18"/>
              </w:rPr>
              <w:t>41.8%</w:t>
            </w:r>
          </w:p>
        </w:tc>
        <w:tc>
          <w:tcPr>
            <w:tcW w:type="dxa" w:w="1247"/>
            <w:shd w:val="clear" w:color="auto" w:fill="FFFFFF"/>
          </w:tcPr>
          <w:p>
            <w:pPr>
              <w:spacing w:before="60" w:after="60"/>
            </w:pPr>
            <w:r>
              <w:rPr>
                <w:sz w:val="18"/>
              </w:rPr>
              <w:t>⚠ Acceptable</w:t>
            </w:r>
          </w:p>
        </w:tc>
      </w:tr>
      <w:tr>
        <w:tc>
          <w:tcPr>
            <w:tcW w:type="dxa" w:w="1814"/>
            <w:shd w:val="clear" w:color="auto" w:fill="F2F8F7"/>
          </w:tcPr>
          <w:p>
            <w:pPr>
              <w:spacing w:before="60" w:after="60"/>
            </w:pPr>
            <w:r>
              <w:rPr>
                <w:sz w:val="18"/>
              </w:rPr>
              <w:t>Conductivity (µS/cm)</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477.351</w:t>
            </w:r>
          </w:p>
        </w:tc>
        <w:tc>
          <w:tcPr>
            <w:tcW w:type="dxa" w:w="850"/>
            <w:shd w:val="clear" w:color="auto" w:fill="F2F8F7"/>
          </w:tcPr>
          <w:p>
            <w:pPr>
              <w:spacing w:before="60" w:after="60"/>
            </w:pPr>
            <w:r>
              <w:rPr>
                <w:sz w:val="18"/>
              </w:rPr>
              <w:t>143.214</w:t>
            </w:r>
          </w:p>
        </w:tc>
        <w:tc>
          <w:tcPr>
            <w:tcW w:type="dxa" w:w="794"/>
            <w:shd w:val="clear" w:color="auto" w:fill="F2F8F7"/>
          </w:tcPr>
          <w:p>
            <w:pPr>
              <w:spacing w:before="60" w:after="60"/>
            </w:pPr>
            <w:r>
              <w:rPr>
                <w:sz w:val="18"/>
              </w:rPr>
              <w:t>316.970</w:t>
            </w:r>
          </w:p>
        </w:tc>
        <w:tc>
          <w:tcPr>
            <w:tcW w:type="dxa" w:w="794"/>
            <w:shd w:val="clear" w:color="auto" w:fill="F2F8F7"/>
          </w:tcPr>
          <w:p>
            <w:pPr>
              <w:spacing w:before="60" w:after="60"/>
            </w:pPr>
            <w:r>
              <w:rPr>
                <w:sz w:val="18"/>
              </w:rPr>
              <w:t>912.920</w:t>
            </w:r>
          </w:p>
        </w:tc>
        <w:tc>
          <w:tcPr>
            <w:tcW w:type="dxa" w:w="964"/>
            <w:shd w:val="clear" w:color="auto" w:fill="F2F8F7"/>
          </w:tcPr>
          <w:p>
            <w:pPr>
              <w:spacing w:before="60" w:after="60"/>
            </w:pPr>
            <w:r>
              <w:rPr>
                <w:sz w:val="18"/>
              </w:rPr>
              <w:t>570</w:t>
            </w:r>
          </w:p>
        </w:tc>
        <w:tc>
          <w:tcPr>
            <w:tcW w:type="dxa" w:w="964"/>
            <w:shd w:val="clear" w:color="auto" w:fill="F2F8F7"/>
          </w:tcPr>
          <w:p>
            <w:pPr>
              <w:spacing w:before="60" w:after="60"/>
            </w:pPr>
            <w:r>
              <w:rPr>
                <w:sz w:val="18"/>
              </w:rPr>
              <w:t>630</w:t>
            </w:r>
          </w:p>
        </w:tc>
        <w:tc>
          <w:tcPr>
            <w:tcW w:type="dxa" w:w="1020"/>
            <w:shd w:val="clear" w:color="auto" w:fill="F2F8F7"/>
          </w:tcPr>
          <w:p>
            <w:pPr>
              <w:spacing w:before="60" w:after="60"/>
            </w:pPr>
            <w:r>
              <w:rPr>
                <w:sz w:val="18"/>
              </w:rPr>
              <w:t>10.1%</w:t>
            </w:r>
          </w:p>
        </w:tc>
        <w:tc>
          <w:tcPr>
            <w:tcW w:type="dxa" w:w="1247"/>
            <w:shd w:val="clear" w:color="auto" w:fill="F2F8F7"/>
          </w:tcPr>
          <w:p>
            <w:pPr>
              <w:spacing w:before="60" w:after="60"/>
            </w:pPr>
            <w:r>
              <w:rPr>
                <w:sz w:val="18"/>
              </w:rPr>
              <w:t>✗ Critical</w:t>
            </w:r>
          </w:p>
        </w:tc>
      </w:tr>
      <w:tr>
        <w:tc>
          <w:tcPr>
            <w:tcW w:type="dxa" w:w="1814"/>
            <w:shd w:val="clear" w:color="auto" w:fill="FFFFFF"/>
          </w:tcPr>
          <w:p>
            <w:pPr>
              <w:spacing w:before="60" w:after="60"/>
            </w:pPr>
            <w:r>
              <w:rPr>
                <w:sz w:val="18"/>
              </w:rPr>
              <w:t>pH</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8.648</w:t>
            </w:r>
          </w:p>
        </w:tc>
        <w:tc>
          <w:tcPr>
            <w:tcW w:type="dxa" w:w="850"/>
            <w:shd w:val="clear" w:color="auto" w:fill="FFFFFF"/>
          </w:tcPr>
          <w:p>
            <w:pPr>
              <w:spacing w:before="60" w:after="60"/>
            </w:pPr>
            <w:r>
              <w:rPr>
                <w:sz w:val="18"/>
              </w:rPr>
              <w:t>0.080</w:t>
            </w:r>
          </w:p>
        </w:tc>
        <w:tc>
          <w:tcPr>
            <w:tcW w:type="dxa" w:w="794"/>
            <w:shd w:val="clear" w:color="auto" w:fill="FFFFFF"/>
          </w:tcPr>
          <w:p>
            <w:pPr>
              <w:spacing w:before="60" w:after="60"/>
            </w:pPr>
            <w:r>
              <w:rPr>
                <w:sz w:val="18"/>
              </w:rPr>
              <w:t>8.403</w:t>
            </w:r>
          </w:p>
        </w:tc>
        <w:tc>
          <w:tcPr>
            <w:tcW w:type="dxa" w:w="794"/>
            <w:shd w:val="clear" w:color="auto" w:fill="FFFFFF"/>
          </w:tcPr>
          <w:p>
            <w:pPr>
              <w:spacing w:before="60" w:after="60"/>
            </w:pPr>
            <w:r>
              <w:rPr>
                <w:sz w:val="18"/>
              </w:rPr>
              <w:t>8.842</w:t>
            </w:r>
          </w:p>
        </w:tc>
        <w:tc>
          <w:tcPr>
            <w:tcW w:type="dxa" w:w="964"/>
            <w:shd w:val="clear" w:color="auto" w:fill="FFFFFF"/>
          </w:tcPr>
          <w:p>
            <w:pPr>
              <w:spacing w:before="60" w:after="60"/>
            </w:pPr>
            <w:r>
              <w:rPr>
                <w:sz w:val="18"/>
              </w:rPr>
              <w:t>7.50</w:t>
            </w:r>
          </w:p>
        </w:tc>
        <w:tc>
          <w:tcPr>
            <w:tcW w:type="dxa" w:w="964"/>
            <w:shd w:val="clear" w:color="auto" w:fill="FFFFFF"/>
          </w:tcPr>
          <w:p>
            <w:pPr>
              <w:spacing w:before="60" w:after="60"/>
            </w:pPr>
            <w:r>
              <w:rPr>
                <w:sz w:val="18"/>
              </w:rPr>
              <w:t>10.00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ORP (mV)</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144.914</w:t>
            </w:r>
          </w:p>
        </w:tc>
        <w:tc>
          <w:tcPr>
            <w:tcW w:type="dxa" w:w="850"/>
            <w:shd w:val="clear" w:color="auto" w:fill="F2F8F7"/>
          </w:tcPr>
          <w:p>
            <w:pPr>
              <w:spacing w:before="60" w:after="60"/>
            </w:pPr>
            <w:r>
              <w:rPr>
                <w:sz w:val="18"/>
              </w:rPr>
              <w:t>18.604</w:t>
            </w:r>
          </w:p>
        </w:tc>
        <w:tc>
          <w:tcPr>
            <w:tcW w:type="dxa" w:w="794"/>
            <w:shd w:val="clear" w:color="auto" w:fill="F2F8F7"/>
          </w:tcPr>
          <w:p>
            <w:pPr>
              <w:spacing w:before="60" w:after="60"/>
            </w:pPr>
            <w:r>
              <w:rPr>
                <w:sz w:val="18"/>
              </w:rPr>
              <w:t>108.154</w:t>
            </w:r>
          </w:p>
        </w:tc>
        <w:tc>
          <w:tcPr>
            <w:tcW w:type="dxa" w:w="794"/>
            <w:shd w:val="clear" w:color="auto" w:fill="F2F8F7"/>
          </w:tcPr>
          <w:p>
            <w:pPr>
              <w:spacing w:before="60" w:after="60"/>
            </w:pPr>
            <w:r>
              <w:rPr>
                <w:sz w:val="18"/>
              </w:rPr>
              <w:t>185.521</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See chart</w:t>
            </w:r>
          </w:p>
        </w:tc>
      </w:tr>
      <w:tr>
        <w:tc>
          <w:tcPr>
            <w:tcW w:type="dxa" w:w="1814"/>
            <w:shd w:val="clear" w:color="auto" w:fill="FFFFFF"/>
          </w:tcPr>
          <w:p>
            <w:pPr>
              <w:spacing w:before="60" w:after="60"/>
            </w:pPr>
            <w:r>
              <w:rPr>
                <w:sz w:val="18"/>
              </w:rPr>
              <w:t>Turbidity (NTU)</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0.044</w:t>
            </w:r>
          </w:p>
        </w:tc>
        <w:tc>
          <w:tcPr>
            <w:tcW w:type="dxa" w:w="850"/>
            <w:shd w:val="clear" w:color="auto" w:fill="FFFFFF"/>
          </w:tcPr>
          <w:p>
            <w:pPr>
              <w:spacing w:before="60" w:after="60"/>
            </w:pPr>
            <w:r>
              <w:rPr>
                <w:sz w:val="18"/>
              </w:rPr>
              <w:t>0.147</w:t>
            </w:r>
          </w:p>
        </w:tc>
        <w:tc>
          <w:tcPr>
            <w:tcW w:type="dxa" w:w="794"/>
            <w:shd w:val="clear" w:color="auto" w:fill="FFFFFF"/>
          </w:tcPr>
          <w:p>
            <w:pPr>
              <w:spacing w:before="60" w:after="60"/>
            </w:pPr>
            <w:r>
              <w:rPr>
                <w:sz w:val="18"/>
              </w:rPr>
              <w:t>0.000</w:t>
            </w:r>
          </w:p>
        </w:tc>
        <w:tc>
          <w:tcPr>
            <w:tcW w:type="dxa" w:w="794"/>
            <w:shd w:val="clear" w:color="auto" w:fill="FFFFFF"/>
          </w:tcPr>
          <w:p>
            <w:pPr>
              <w:spacing w:before="60" w:after="60"/>
            </w:pPr>
            <w:r>
              <w:rPr>
                <w:sz w:val="18"/>
              </w:rPr>
              <w:t>3.984</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75.0</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Cell Fouling (%)</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0.001</w:t>
            </w:r>
          </w:p>
        </w:tc>
        <w:tc>
          <w:tcPr>
            <w:tcW w:type="dxa" w:w="850"/>
            <w:shd w:val="clear" w:color="auto" w:fill="F2F8F7"/>
          </w:tcPr>
          <w:p>
            <w:pPr>
              <w:spacing w:before="60" w:after="60"/>
            </w:pPr>
            <w:r>
              <w:rPr>
                <w:sz w:val="18"/>
              </w:rPr>
              <w:t>0.028</w:t>
            </w:r>
          </w:p>
        </w:tc>
        <w:tc>
          <w:tcPr>
            <w:tcW w:type="dxa" w:w="794"/>
            <w:shd w:val="clear" w:color="auto" w:fill="F2F8F7"/>
          </w:tcPr>
          <w:p>
            <w:pPr>
              <w:spacing w:before="60" w:after="60"/>
            </w:pPr>
            <w:r>
              <w:rPr>
                <w:sz w:val="18"/>
              </w:rPr>
              <w:t>0.000</w:t>
            </w:r>
          </w:p>
        </w:tc>
        <w:tc>
          <w:tcPr>
            <w:tcW w:type="dxa" w:w="794"/>
            <w:shd w:val="clear" w:color="auto" w:fill="F2F8F7"/>
          </w:tcPr>
          <w:p>
            <w:pPr>
              <w:spacing w:before="60" w:after="60"/>
            </w:pPr>
            <w:r>
              <w:rPr>
                <w:sz w:val="18"/>
              </w:rPr>
              <w:t>1.019</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30.0</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ℹ Info</w:t>
            </w:r>
          </w:p>
        </w:tc>
      </w:tr>
      <w:tr>
        <w:tc>
          <w:tcPr>
            <w:tcW w:type="dxa" w:w="1814"/>
            <w:shd w:val="clear" w:color="auto" w:fill="FFFFFF"/>
          </w:tcPr>
          <w:p>
            <w:pPr>
              <w:spacing w:before="60" w:after="60"/>
            </w:pPr>
            <w:r>
              <w:rPr>
                <w:sz w:val="18"/>
              </w:rPr>
              <w:t>FRC</w:t>
            </w:r>
          </w:p>
        </w:tc>
        <w:tc>
          <w:tcPr>
            <w:tcW w:type="dxa" w:w="1247"/>
            <w:shd w:val="clear" w:color="auto" w:fill="FFFFFF"/>
          </w:tcPr>
          <w:p>
            <w:pPr>
              <w:spacing w:before="60" w:after="60"/>
            </w:pPr>
            <w:r>
              <w:rPr>
                <w:sz w:val="18"/>
              </w:rPr>
              <w:t>Field Data</w:t>
            </w:r>
          </w:p>
        </w:tc>
        <w:tc>
          <w:tcPr>
            <w:tcW w:type="dxa" w:w="850"/>
            <w:shd w:val="clear" w:color="auto" w:fill="FFFFFF"/>
          </w:tcPr>
          <w:p>
            <w:pPr>
              <w:spacing w:before="60" w:after="60"/>
            </w:pPr>
            <w:r>
              <w:rPr>
                <w:sz w:val="18"/>
              </w:rPr>
              <w:t>Not avail.</w:t>
            </w:r>
          </w:p>
        </w:tc>
        <w:tc>
          <w:tcPr>
            <w:tcW w:type="dxa" w:w="850"/>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 Check</w:t>
            </w:r>
          </w:p>
        </w:tc>
      </w:tr>
    </w:tbl>
    <w:p/>
    <w:p>
      <w:r>
        <w:br w:type="page"/>
      </w:r>
    </w:p>
    <w:p>
      <w:pPr>
        <w:pBdr>
          <w:bottom w:val="single" w:sz="8" w:space="4" w:color="00857C"/>
        </w:pBdr>
        <w:spacing w:before="280" w:after="80"/>
      </w:pPr>
      <w:r>
        <w:rPr>
          <w:b/>
          <w:color w:val="00857C"/>
          <w:sz w:val="32"/>
        </w:rPr>
        <w:t>Charts and Comments</w:t>
      </w:r>
    </w:p>
    <w:p>
      <w:pPr>
        <w:spacing w:before="200" w:after="60"/>
      </w:pPr>
      <w:r>
        <w:rPr>
          <w:b/>
          <w:color w:val="005F58"/>
          <w:sz w:val="26"/>
        </w:rPr>
        <w:t>Corrosion Rate</w:t>
      </w:r>
    </w:p>
    <w:p>
      <w:pPr>
        <w:jc w:val="center"/>
      </w:pPr>
      <w:r>
        <w:drawing>
          <wp:inline xmlns:a="http://schemas.openxmlformats.org/drawingml/2006/main" xmlns:pic="http://schemas.openxmlformats.org/drawingml/2006/picture">
            <wp:extent cx="5486400" cy="2582656"/>
            <wp:docPr id="1" name="Picture 1"/>
            <wp:cNvGraphicFramePr>
              <a:graphicFrameLocks noChangeAspect="1"/>
            </wp:cNvGraphicFramePr>
            <a:graphic>
              <a:graphicData uri="http://schemas.openxmlformats.org/drawingml/2006/picture">
                <pic:pic>
                  <pic:nvPicPr>
                    <pic:cNvPr id="0" name="candler_hospital_savannah_ga_us_controllers_84253fab8c75_august_2026_corrosion.png"/>
                    <pic:cNvPicPr/>
                  </pic:nvPicPr>
                  <pic:blipFill>
                    <a:blip r:embed="rId11"/>
                    <a:stretch>
                      <a:fillRect/>
                    </a:stretch>
                  </pic:blipFill>
                  <pic:spPr>
                    <a:xfrm>
                      <a:off x="0" y="0"/>
                      <a:ext cx="5486400" cy="2582656"/>
                    </a:xfrm>
                    <a:prstGeom prst="rect"/>
                  </pic:spPr>
                </pic:pic>
              </a:graphicData>
            </a:graphic>
          </wp:inline>
        </w:drawing>
      </w:r>
    </w:p>
    <w:p>
      <w:pPr>
        <w:spacing w:after="120"/>
        <w:jc w:val="center"/>
      </w:pPr>
      <w:r>
        <w:rPr>
          <w:i/>
          <w:color w:val="444444"/>
          <w:sz w:val="17"/>
        </w:rPr>
        <w:t>Figure 1: Corrosion Rate — August 2026</w:t>
      </w:r>
    </w:p>
    <w:p>
      <w:pPr>
        <w:spacing w:before="40" w:after="200"/>
      </w:pPr>
      <w:r>
        <w:rPr>
          <w:b/>
          <w:i/>
          <w:color w:val="333333"/>
          <w:sz w:val="19"/>
        </w:rPr>
        <w:t xml:space="preserve">Comment: </w:t>
      </w:r>
      <w:r>
        <w:rPr>
          <w:i/>
          <w:color w:val="333333"/>
          <w:sz w:val="19"/>
        </w:rPr>
        <w:t>Pattern: corrosion control is increasing, but remains good against the target.</w:t>
      </w:r>
      <w:r>
        <w:br/>
      </w:r>
      <w:r>
        <w:rPr>
          <w:i/>
          <w:color w:val="333333"/>
          <w:sz w:val="19"/>
        </w:rPr>
        <w:t>Mild steel corrosion increased across the month, while copper corrosion increased across the month.</w:t>
      </w:r>
      <w:r>
        <w:br/>
      </w:r>
      <w:r>
        <w:rPr>
          <w:i/>
          <w:color w:val="333333"/>
          <w:sz w:val="19"/>
        </w:rPr>
        <w:t>MS was within the 3.0 MPY target, and Cu was within the 0.5 MPY target.</w:t>
      </w:r>
      <w:r>
        <w:br/>
      </w:r>
      <w:r>
        <w:rPr>
          <w:i/>
          <w:color w:val="333333"/>
          <w:sz w:val="19"/>
        </w:rPr>
        <w:t>Likely reason: corrosion is still protected, but increasing movement should be checked against product and ORP trends.</w:t>
      </w:r>
    </w:p>
    <w:p>
      <w:pPr>
        <w:spacing w:before="200" w:after="60"/>
      </w:pPr>
      <w:r>
        <w:rPr>
          <w:b/>
          <w:color w:val="005F58"/>
          <w:sz w:val="26"/>
        </w:rPr>
        <w:t>Traced Product Control Trend</w:t>
      </w:r>
    </w:p>
    <w:p>
      <w:pPr>
        <w:jc w:val="center"/>
      </w:pPr>
      <w:r>
        <w:drawing>
          <wp:inline xmlns:a="http://schemas.openxmlformats.org/drawingml/2006/main" xmlns:pic="http://schemas.openxmlformats.org/drawingml/2006/picture">
            <wp:extent cx="5486400" cy="2578283"/>
            <wp:docPr id="2" name="Picture 2"/>
            <wp:cNvGraphicFramePr>
              <a:graphicFrameLocks noChangeAspect="1"/>
            </wp:cNvGraphicFramePr>
            <a:graphic>
              <a:graphicData uri="http://schemas.openxmlformats.org/drawingml/2006/picture">
                <pic:pic>
                  <pic:nvPicPr>
                    <pic:cNvPr id="0" name="candler_hospital_savannah_ga_us_controllers_84253fab8c75_august_2026_traced_product.png"/>
                    <pic:cNvPicPr/>
                  </pic:nvPicPr>
                  <pic:blipFill>
                    <a:blip r:embed="rId12"/>
                    <a:stretch>
                      <a:fillRect/>
                    </a:stretch>
                  </pic:blipFill>
                  <pic:spPr>
                    <a:xfrm>
                      <a:off x="0" y="0"/>
                      <a:ext cx="5486400" cy="2578283"/>
                    </a:xfrm>
                    <a:prstGeom prst="rect"/>
                  </pic:spPr>
                </pic:pic>
              </a:graphicData>
            </a:graphic>
          </wp:inline>
        </w:drawing>
      </w:r>
    </w:p>
    <w:p>
      <w:pPr>
        <w:spacing w:after="120"/>
        <w:jc w:val="center"/>
      </w:pPr>
      <w:r>
        <w:rPr>
          <w:i/>
          <w:color w:val="444444"/>
          <w:sz w:val="17"/>
        </w:rPr>
        <w:t>Figure 2: Traced Product — August 2026</w:t>
      </w:r>
    </w:p>
    <w:p>
      <w:pPr>
        <w:spacing w:before="40" w:after="200"/>
      </w:pPr>
      <w:r>
        <w:rPr>
          <w:b/>
          <w:i/>
          <w:color w:val="333333"/>
          <w:sz w:val="19"/>
        </w:rPr>
        <w:t xml:space="preserve">Comment: </w:t>
      </w:r>
      <w:r>
        <w:rPr>
          <w:i/>
          <w:color w:val="333333"/>
          <w:sz w:val="19"/>
        </w:rPr>
        <w:t>Pattern: Traced Product is still not maintained at the end of the month.</w:t>
      </w:r>
      <w:r>
        <w:br/>
      </w:r>
      <w:r>
        <w:rPr>
          <w:i/>
          <w:color w:val="333333"/>
          <w:sz w:val="19"/>
        </w:rPr>
        <w:t>The trend moved from about 73.3 ppm at the start to 74.5 ppm at the end.</w:t>
      </w:r>
      <w:r>
        <w:br/>
      </w:r>
      <w:r>
        <w:rPr>
          <w:i/>
          <w:color w:val="333333"/>
          <w:sz w:val="19"/>
        </w:rPr>
        <w:t>The Traced Product average was above the configured range. The monthly in-range performance was 41.8%.</w:t>
      </w:r>
      <w:r>
        <w:br/>
      </w:r>
      <w:r>
        <w:rPr>
          <w:i/>
          <w:color w:val="333333"/>
          <w:sz w:val="19"/>
        </w:rPr>
        <w:t>Likely reason: Traced Product is following the increased conductivity trend, so cycles, blowdown, makeup, or dilution changes should be corrected first.</w:t>
      </w:r>
    </w:p>
    <w:p>
      <w:pPr>
        <w:spacing w:before="200" w:after="60"/>
      </w:pPr>
      <w:r>
        <w:rPr>
          <w:b/>
          <w:color w:val="005F58"/>
          <w:sz w:val="26"/>
        </w:rPr>
        <w:t>ORP vs Copper Corrosion Rate</w:t>
      </w:r>
    </w:p>
    <w:p>
      <w:pPr>
        <w:jc w:val="center"/>
      </w:pPr>
      <w:r>
        <w:drawing>
          <wp:inline xmlns:a="http://schemas.openxmlformats.org/drawingml/2006/main" xmlns:pic="http://schemas.openxmlformats.org/drawingml/2006/picture">
            <wp:extent cx="5486400" cy="2584849"/>
            <wp:docPr id="3" name="Picture 3"/>
            <wp:cNvGraphicFramePr>
              <a:graphicFrameLocks noChangeAspect="1"/>
            </wp:cNvGraphicFramePr>
            <a:graphic>
              <a:graphicData uri="http://schemas.openxmlformats.org/drawingml/2006/picture">
                <pic:pic>
                  <pic:nvPicPr>
                    <pic:cNvPr id="0" name="candler_hospital_savannah_ga_us_controllers_84253fab8c75_august_2026_orp_corrosion.png"/>
                    <pic:cNvPicPr/>
                  </pic:nvPicPr>
                  <pic:blipFill>
                    <a:blip r:embed="rId13"/>
                    <a:stretch>
                      <a:fillRect/>
                    </a:stretch>
                  </pic:blipFill>
                  <pic:spPr>
                    <a:xfrm>
                      <a:off x="0" y="0"/>
                      <a:ext cx="5486400" cy="2584849"/>
                    </a:xfrm>
                    <a:prstGeom prst="rect"/>
                  </pic:spPr>
                </pic:pic>
              </a:graphicData>
            </a:graphic>
          </wp:inline>
        </w:drawing>
      </w:r>
    </w:p>
    <w:p>
      <w:pPr>
        <w:spacing w:after="120"/>
        <w:jc w:val="center"/>
      </w:pPr>
      <w:r>
        <w:rPr>
          <w:i/>
          <w:color w:val="444444"/>
          <w:sz w:val="17"/>
        </w:rPr>
        <w:t>Figure 3: ORP vs Copper Corrosion Rate — August 2026</w:t>
      </w:r>
    </w:p>
    <w:p>
      <w:pPr>
        <w:spacing w:before="40" w:after="200"/>
      </w:pPr>
      <w:r>
        <w:rPr>
          <w:b/>
          <w:i/>
          <w:color w:val="333333"/>
          <w:sz w:val="19"/>
        </w:rPr>
        <w:t xml:space="preserve">Comment: </w:t>
      </w:r>
      <w:r>
        <w:rPr>
          <w:i/>
          <w:color w:val="333333"/>
          <w:sz w:val="19"/>
        </w:rPr>
        <w:t>Pattern: ORP response is decreasing across the month.</w:t>
      </w:r>
      <w:r>
        <w:br/>
      </w:r>
      <w:r>
        <w:rPr>
          <w:i/>
          <w:color w:val="333333"/>
          <w:sz w:val="19"/>
        </w:rPr>
        <w:t>ORP did not show a strong spike response pattern during the month without relying on absolute ORP values.</w:t>
      </w:r>
      <w:r>
        <w:br/>
      </w:r>
      <w:r>
        <w:rPr>
          <w:i/>
          <w:color w:val="333333"/>
          <w:sz w:val="19"/>
        </w:rPr>
        <w:t>Copper corrosion increased across the month while the ORP pattern changed.</w:t>
      </w:r>
      <w:r>
        <w:br/>
      </w:r>
      <w:r>
        <w:rPr>
          <w:i/>
          <w:color w:val="333333"/>
          <w:sz w:val="19"/>
        </w:rPr>
        <w:t>Likely reason: biocide feed timing, relay operation, oxidizer inventory, or field FRC residual should be checked.</w:t>
      </w:r>
    </w:p>
    <w:p>
      <w:pPr>
        <w:spacing w:before="200" w:after="60"/>
      </w:pPr>
      <w:r>
        <w:rPr>
          <w:b/>
          <w:color w:val="005F58"/>
          <w:sz w:val="26"/>
        </w:rPr>
        <w:t>Oxidizing Biocide Pump Relay vs Copper Corrosion</w:t>
      </w:r>
    </w:p>
    <w:p>
      <w:pPr>
        <w:jc w:val="center"/>
      </w:pPr>
      <w:r>
        <w:drawing>
          <wp:inline xmlns:a="http://schemas.openxmlformats.org/drawingml/2006/main" xmlns:pic="http://schemas.openxmlformats.org/drawingml/2006/picture">
            <wp:extent cx="5486400" cy="2582656"/>
            <wp:docPr id="4" name="Picture 4"/>
            <wp:cNvGraphicFramePr>
              <a:graphicFrameLocks noChangeAspect="1"/>
            </wp:cNvGraphicFramePr>
            <a:graphic>
              <a:graphicData uri="http://schemas.openxmlformats.org/drawingml/2006/picture">
                <pic:pic>
                  <pic:nvPicPr>
                    <pic:cNvPr id="0" name="candler_hospital_savannah_ga_us_controllers_84253fab8c75_august_2026_biocide_corrosion.png"/>
                    <pic:cNvPicPr/>
                  </pic:nvPicPr>
                  <pic:blipFill>
                    <a:blip r:embed="rId14"/>
                    <a:stretch>
                      <a:fillRect/>
                    </a:stretch>
                  </pic:blipFill>
                  <pic:spPr>
                    <a:xfrm>
                      <a:off x="0" y="0"/>
                      <a:ext cx="5486400" cy="2582656"/>
                    </a:xfrm>
                    <a:prstGeom prst="rect"/>
                  </pic:spPr>
                </pic:pic>
              </a:graphicData>
            </a:graphic>
          </wp:inline>
        </w:drawing>
      </w:r>
    </w:p>
    <w:p>
      <w:pPr>
        <w:spacing w:after="120"/>
        <w:jc w:val="center"/>
      </w:pPr>
      <w:r>
        <w:rPr>
          <w:i/>
          <w:color w:val="444444"/>
          <w:sz w:val="17"/>
        </w:rPr>
        <w:t>Figure 4: Oxidizing Biocide Pump Relay vs Copper Corrosion — August 2026</w:t>
      </w:r>
    </w:p>
    <w:p>
      <w:pPr>
        <w:spacing w:before="40" w:after="200"/>
      </w:pPr>
      <w:r>
        <w:rPr>
          <w:b/>
          <w:i/>
          <w:color w:val="333333"/>
          <w:sz w:val="19"/>
        </w:rPr>
        <w:t xml:space="preserve">Comment: </w:t>
      </w:r>
      <w:r>
        <w:rPr>
          <w:i/>
          <w:color w:val="333333"/>
          <w:sz w:val="19"/>
        </w:rPr>
        <w:t>Pattern: biocide feed versus copper corrosion is increasing, but remains good against the target.</w:t>
      </w:r>
      <w:r>
        <w:br/>
      </w:r>
      <w:r>
        <w:rPr>
          <w:i/>
          <w:color w:val="333333"/>
          <w:sz w:val="19"/>
        </w:rPr>
        <w:t>Biocide relay activity was present in the monthly trend.</w:t>
      </w:r>
      <w:r>
        <w:br/>
      </w:r>
      <w:r>
        <w:rPr>
          <w:i/>
          <w:color w:val="333333"/>
          <w:sz w:val="19"/>
        </w:rPr>
        <w:t>Relay activity increased across the month when the month is split into early and late periods.</w:t>
      </w:r>
      <w:r>
        <w:br/>
      </w:r>
      <w:r>
        <w:rPr>
          <w:i/>
          <w:color w:val="333333"/>
          <w:sz w:val="19"/>
        </w:rPr>
        <w:t>Likely reason: relay feed timing is adequate and copper corrosion remains protected.</w:t>
      </w:r>
    </w:p>
    <w:p>
      <w:pPr>
        <w:spacing w:before="200" w:after="60"/>
      </w:pPr>
      <w:r>
        <w:rPr>
          <w:b/>
          <w:color w:val="005F58"/>
          <w:sz w:val="26"/>
        </w:rPr>
        <w:t>Electrode Conductivity</w:t>
      </w:r>
    </w:p>
    <w:p>
      <w:pPr>
        <w:jc w:val="center"/>
      </w:pPr>
      <w:r>
        <w:drawing>
          <wp:inline xmlns:a="http://schemas.openxmlformats.org/drawingml/2006/main" xmlns:pic="http://schemas.openxmlformats.org/drawingml/2006/picture">
            <wp:extent cx="5486400" cy="2578283"/>
            <wp:docPr id="5" name="Picture 5"/>
            <wp:cNvGraphicFramePr>
              <a:graphicFrameLocks noChangeAspect="1"/>
            </wp:cNvGraphicFramePr>
            <a:graphic>
              <a:graphicData uri="http://schemas.openxmlformats.org/drawingml/2006/picture">
                <pic:pic>
                  <pic:nvPicPr>
                    <pic:cNvPr id="0" name="candler_hospital_savannah_ga_us_controllers_84253fab8c75_august_2026_conductivity.png"/>
                    <pic:cNvPicPr/>
                  </pic:nvPicPr>
                  <pic:blipFill>
                    <a:blip r:embed="rId15"/>
                    <a:stretch>
                      <a:fillRect/>
                    </a:stretch>
                  </pic:blipFill>
                  <pic:spPr>
                    <a:xfrm>
                      <a:off x="0" y="0"/>
                      <a:ext cx="5486400" cy="2578283"/>
                    </a:xfrm>
                    <a:prstGeom prst="rect"/>
                  </pic:spPr>
                </pic:pic>
              </a:graphicData>
            </a:graphic>
          </wp:inline>
        </w:drawing>
      </w:r>
    </w:p>
    <w:p>
      <w:pPr>
        <w:spacing w:after="120"/>
        <w:jc w:val="center"/>
      </w:pPr>
      <w:r>
        <w:rPr>
          <w:i/>
          <w:color w:val="444444"/>
          <w:sz w:val="17"/>
        </w:rPr>
        <w:t>Figure 5: Electrode Conductivity — August 2026</w:t>
      </w:r>
    </w:p>
    <w:p>
      <w:pPr>
        <w:spacing w:before="40" w:after="200"/>
      </w:pPr>
      <w:r>
        <w:rPr>
          <w:b/>
          <w:i/>
          <w:color w:val="333333"/>
          <w:sz w:val="19"/>
        </w:rPr>
        <w:t xml:space="preserve">Comment: </w:t>
      </w:r>
      <w:r>
        <w:rPr>
          <w:i/>
          <w:color w:val="333333"/>
          <w:sz w:val="19"/>
        </w:rPr>
        <w:t>Pattern: conductivity is increasing and needs attention against the target.</w:t>
      </w:r>
      <w:r>
        <w:br/>
      </w:r>
      <w:r>
        <w:rPr>
          <w:i/>
          <w:color w:val="333333"/>
          <w:sz w:val="19"/>
        </w:rPr>
        <w:t>The trend moved from about 381.2 µS/cm at the start to 573.4 µS/cm at the end.</w:t>
      </w:r>
      <w:r>
        <w:br/>
      </w:r>
      <w:r>
        <w:rPr>
          <w:i/>
          <w:color w:val="333333"/>
          <w:sz w:val="19"/>
        </w:rPr>
        <w:t>The conductivity average was below the configured range. The monthly in-range performance was 10.1%.</w:t>
      </w:r>
      <w:r>
        <w:br/>
      </w:r>
      <w:r>
        <w:rPr>
          <w:i/>
          <w:color w:val="333333"/>
          <w:sz w:val="19"/>
        </w:rPr>
        <w:t>Likely reason: dilution, water loss, excess blowdown, or makeup changes are keeping conductivity low.</w:t>
      </w:r>
    </w:p>
    <w:p>
      <w:r>
        <w:br w:type="page"/>
      </w:r>
    </w:p>
    <w:p>
      <w:pPr>
        <w:pBdr>
          <w:bottom w:val="single" w:sz="8" w:space="4" w:color="00857C"/>
        </w:pBdr>
        <w:spacing w:before="280" w:after="80"/>
      </w:pPr>
      <w:r>
        <w:rPr>
          <w:b/>
          <w:color w:val="00857C"/>
          <w:sz w:val="32"/>
        </w:rPr>
        <w:t>Closing Summary</w:t>
      </w:r>
    </w:p>
    <w:p>
      <w:pPr>
        <w:spacing w:before="80" w:after="120"/>
        <w:jc w:val="left"/>
      </w:pPr>
      <w:r>
        <w:rPr>
          <w:b w:val="0"/>
          <w:i w:val="0"/>
          <w:sz w:val="20"/>
        </w:rPr>
        <w:t>Overall August performance for Candler main showed Excellent corrosion control and Acceptable microbial control, while conductivity and Traced Product control require follow-up. The primary action is to stabilize conductivity first because the Traced Product deviation is linked with conductivity behavior. After water-side control is stabilized, product residual and polymer efficiency should be verified during the next service visit.</w:t>
      </w:r>
    </w:p>
    <w:sectPr w:rsidR="00FC693F" w:rsidRPr="0006063C" w:rsidSect="00034616">
      <w:headerReference w:type="default" r:id="rId9"/>
      <w:footerReference w:type="default" r:id="rId10"/>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44444"/>
        <w:sz w:val="16"/>
      </w:rPr>
      <w:t>Buckman Digital Water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00857C"/>
      </w:pBdr>
    </w:pPr>
    <w:r>
      <w:rPr>
        <w:color w:val="444444"/>
        <w:sz w:val="16"/>
      </w:rPr>
      <w:t>Buckman  |  Candler Hospital Savannah GA (US)  |  August 2026 Cooling Water Performance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