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08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0.6119 MPY against the target of within 3.0 MPY, and the average copper corrosion rate was 0.0200 MPY against the target of within 0.5 MPY. Status: Excellent. Corrosion control was Excellent because both metals remained below their target limits during the August reporting period. Mild steel corrosion increased later in the month while copper corrosion decreased, so the mild steel movement should continue to be compared with product residual and ORP trends.</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Status: Acceptable. Traced Product was within the Controller Setpoint control range for 29.9% of the reporting month. Conductivity was within the Controller Setpoint control range for 13.2% of the reporting month. End-of-month Traced Product was 7.0% higher than the setpoint, and conductivity was also not maintained, so the product trend should be treated as conductivity-related until cycles, blowdown, makeup, or dilution behavior is corrected. Conductivity was below its setpoint configuration range for most of the same period, so water loss, dilution, or blowdown/makeup behavior should be inspected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field data for this reporting period and will be checked during the upcoming service visit. ORP did not show a strong spike response pattern during the month, but biocide relay activity was present, supporting an Acceptable microbial control status pending field residual confirmation. Copper corrosion remained within target, indicating no copper corrosion upset was observed during the reporting period.</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Water efficiency was Critical. Conductivity averaged 891.67 uS/cm against the 930.00-970.00 uS/cm Controller Setpoint range, with only 13.2% of readings in range. Conductivity stayed below the configured range and moved slightly from about 889.4 uS/cm early to 893.9 uS/cm later in the month. Makeup conductivity was not available, so actual cycles of concentration could not be calculated; dilution, water loss, excess blowdown, or makeup changes should be reviewed.</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attention because Traced Product averaged 90.26 ppm against the 85.00 ppm setpoint and the 82.00-88.00 ppm control range, with only 29.9% of readings in range. Because conductivity was also not maintained, product-control review should first be tied to conductivity, blowdown, makeup, dilution, or water-loss behavior before changing feed settings.</w:t>
      </w:r>
    </w:p>
    <w:p>
      <w:pPr>
        <w:spacing w:before="200" w:after="60"/>
      </w:pPr>
      <w:r>
        <w:rPr>
          <w:b/>
          <w:color w:val="005F58"/>
          <w:sz w:val="26"/>
        </w:rPr>
        <w:t>Proactive System Support</w:t>
      </w:r>
    </w:p>
    <w:p>
      <w:pPr>
        <w:spacing w:before="80" w:after="120"/>
        <w:jc w:val="left"/>
      </w:pPr>
      <w:r>
        <w:rPr>
          <w:b w:val="0"/>
          <w:i w:val="0"/>
          <w:sz w:val="20"/>
        </w:rPr>
        <w:t>No service notes were recorded for the August reporting period. Recommended follow-up: Confirm inhibitor residual, inspect for deposit activity, and compare corrosion movement with ORP and product trends. Traced Product was not maintained while conductivity was also not maintained, so treat the product issue as conductivity-related and check cycles, blowdown, makeup, and dilution behavior first. Capture makeup water conductivity during the next service visit so actual cycles of concentration can be verified.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0.612</w:t>
            </w:r>
          </w:p>
        </w:tc>
        <w:tc>
          <w:tcPr>
            <w:tcW w:type="dxa" w:w="850"/>
            <w:shd w:val="clear" w:color="auto" w:fill="FFFFFF"/>
          </w:tcPr>
          <w:p>
            <w:pPr>
              <w:spacing w:before="60" w:after="60"/>
            </w:pPr>
            <w:r>
              <w:rPr>
                <w:sz w:val="18"/>
              </w:rPr>
              <w:t>0.220</w:t>
            </w:r>
          </w:p>
        </w:tc>
        <w:tc>
          <w:tcPr>
            <w:tcW w:type="dxa" w:w="794"/>
            <w:shd w:val="clear" w:color="auto" w:fill="FFFFFF"/>
          </w:tcPr>
          <w:p>
            <w:pPr>
              <w:spacing w:before="60" w:after="60"/>
            </w:pPr>
            <w:r>
              <w:rPr>
                <w:sz w:val="18"/>
              </w:rPr>
              <w:t>0.249</w:t>
            </w:r>
          </w:p>
        </w:tc>
        <w:tc>
          <w:tcPr>
            <w:tcW w:type="dxa" w:w="794"/>
            <w:shd w:val="clear" w:color="auto" w:fill="FFFFFF"/>
          </w:tcPr>
          <w:p>
            <w:pPr>
              <w:spacing w:before="60" w:after="60"/>
            </w:pPr>
            <w:r>
              <w:rPr>
                <w:sz w:val="18"/>
              </w:rPr>
              <w:t>1.924</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0.020</w:t>
            </w:r>
          </w:p>
        </w:tc>
        <w:tc>
          <w:tcPr>
            <w:tcW w:type="dxa" w:w="850"/>
            <w:shd w:val="clear" w:color="auto" w:fill="F2F8F7"/>
          </w:tcPr>
          <w:p>
            <w:pPr>
              <w:spacing w:before="60" w:after="60"/>
            </w:pPr>
            <w:r>
              <w:rPr>
                <w:sz w:val="18"/>
              </w:rPr>
              <w:t>0.010</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0.092</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90.262</w:t>
            </w:r>
          </w:p>
        </w:tc>
        <w:tc>
          <w:tcPr>
            <w:tcW w:type="dxa" w:w="850"/>
            <w:shd w:val="clear" w:color="auto" w:fill="FFFFFF"/>
          </w:tcPr>
          <w:p>
            <w:pPr>
              <w:spacing w:before="60" w:after="60"/>
            </w:pPr>
            <w:r>
              <w:rPr>
                <w:sz w:val="18"/>
              </w:rPr>
              <w:t>8.982</w:t>
            </w:r>
          </w:p>
        </w:tc>
        <w:tc>
          <w:tcPr>
            <w:tcW w:type="dxa" w:w="794"/>
            <w:shd w:val="clear" w:color="auto" w:fill="FFFFFF"/>
          </w:tcPr>
          <w:p>
            <w:pPr>
              <w:spacing w:before="60" w:after="60"/>
            </w:pPr>
            <w:r>
              <w:rPr>
                <w:sz w:val="18"/>
              </w:rPr>
              <w:t>75.095</w:t>
            </w:r>
          </w:p>
        </w:tc>
        <w:tc>
          <w:tcPr>
            <w:tcW w:type="dxa" w:w="794"/>
            <w:shd w:val="clear" w:color="auto" w:fill="FFFFFF"/>
          </w:tcPr>
          <w:p>
            <w:pPr>
              <w:spacing w:before="60" w:after="60"/>
            </w:pPr>
            <w:r>
              <w:rPr>
                <w:sz w:val="18"/>
              </w:rPr>
              <w:t>303.263</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29.9%</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891.668</w:t>
            </w:r>
          </w:p>
        </w:tc>
        <w:tc>
          <w:tcPr>
            <w:tcW w:type="dxa" w:w="850"/>
            <w:shd w:val="clear" w:color="auto" w:fill="F2F8F7"/>
          </w:tcPr>
          <w:p>
            <w:pPr>
              <w:spacing w:before="60" w:after="60"/>
            </w:pPr>
            <w:r>
              <w:rPr>
                <w:sz w:val="18"/>
              </w:rPr>
              <w:t>36.697</w:t>
            </w:r>
          </w:p>
        </w:tc>
        <w:tc>
          <w:tcPr>
            <w:tcW w:type="dxa" w:w="794"/>
            <w:shd w:val="clear" w:color="auto" w:fill="F2F8F7"/>
          </w:tcPr>
          <w:p>
            <w:pPr>
              <w:spacing w:before="60" w:after="60"/>
            </w:pPr>
            <w:r>
              <w:rPr>
                <w:sz w:val="18"/>
              </w:rPr>
              <w:t>570.220</w:t>
            </w:r>
          </w:p>
        </w:tc>
        <w:tc>
          <w:tcPr>
            <w:tcW w:type="dxa" w:w="794"/>
            <w:shd w:val="clear" w:color="auto" w:fill="F2F8F7"/>
          </w:tcPr>
          <w:p>
            <w:pPr>
              <w:spacing w:before="60" w:after="60"/>
            </w:pPr>
            <w:r>
              <w:rPr>
                <w:sz w:val="18"/>
              </w:rPr>
              <w:t>967.757</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13.2%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8.835</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8.412</w:t>
            </w:r>
          </w:p>
        </w:tc>
        <w:tc>
          <w:tcPr>
            <w:tcW w:type="dxa" w:w="794"/>
            <w:shd w:val="clear" w:color="auto" w:fill="FFFFFF"/>
          </w:tcPr>
          <w:p>
            <w:pPr>
              <w:spacing w:before="60" w:after="60"/>
            </w:pPr>
            <w:r>
              <w:rPr>
                <w:sz w:val="18"/>
              </w:rPr>
              <w:t>9.055</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525.698</w:t>
            </w:r>
          </w:p>
        </w:tc>
        <w:tc>
          <w:tcPr>
            <w:tcW w:type="dxa" w:w="850"/>
            <w:shd w:val="clear" w:color="auto" w:fill="F2F8F7"/>
          </w:tcPr>
          <w:p>
            <w:pPr>
              <w:spacing w:before="60" w:after="60"/>
            </w:pPr>
            <w:r>
              <w:rPr>
                <w:sz w:val="18"/>
              </w:rPr>
              <w:t>106.369</w:t>
            </w:r>
          </w:p>
        </w:tc>
        <w:tc>
          <w:tcPr>
            <w:tcW w:type="dxa" w:w="794"/>
            <w:shd w:val="clear" w:color="auto" w:fill="F2F8F7"/>
          </w:tcPr>
          <w:p>
            <w:pPr>
              <w:spacing w:before="60" w:after="60"/>
            </w:pPr>
            <w:r>
              <w:rPr>
                <w:sz w:val="18"/>
              </w:rPr>
              <w:t>59.013</w:t>
            </w:r>
          </w:p>
        </w:tc>
        <w:tc>
          <w:tcPr>
            <w:tcW w:type="dxa" w:w="794"/>
            <w:shd w:val="clear" w:color="auto" w:fill="F2F8F7"/>
          </w:tcPr>
          <w:p>
            <w:pPr>
              <w:spacing w:before="60" w:after="60"/>
            </w:pPr>
            <w:r>
              <w:rPr>
                <w:sz w:val="18"/>
              </w:rPr>
              <w:t>715.000</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5.754</w:t>
            </w:r>
          </w:p>
        </w:tc>
        <w:tc>
          <w:tcPr>
            <w:tcW w:type="dxa" w:w="850"/>
            <w:shd w:val="clear" w:color="auto" w:fill="FFFFFF"/>
          </w:tcPr>
          <w:p>
            <w:pPr>
              <w:spacing w:before="60" w:after="60"/>
            </w:pPr>
            <w:r>
              <w:rPr>
                <w:sz w:val="18"/>
              </w:rPr>
              <w:t>0.592</w:t>
            </w:r>
          </w:p>
        </w:tc>
        <w:tc>
          <w:tcPr>
            <w:tcW w:type="dxa" w:w="794"/>
            <w:shd w:val="clear" w:color="auto" w:fill="FFFFFF"/>
          </w:tcPr>
          <w:p>
            <w:pPr>
              <w:spacing w:before="60" w:after="60"/>
            </w:pPr>
            <w:r>
              <w:rPr>
                <w:sz w:val="18"/>
              </w:rPr>
              <w:t>3.150</w:t>
            </w:r>
          </w:p>
        </w:tc>
        <w:tc>
          <w:tcPr>
            <w:tcW w:type="dxa" w:w="794"/>
            <w:shd w:val="clear" w:color="auto" w:fill="FFFFFF"/>
          </w:tcPr>
          <w:p>
            <w:pPr>
              <w:spacing w:before="60" w:after="60"/>
            </w:pPr>
            <w:r>
              <w:rPr>
                <w:sz w:val="18"/>
              </w:rPr>
              <w:t>6.947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20.467</w:t>
            </w:r>
          </w:p>
        </w:tc>
        <w:tc>
          <w:tcPr>
            <w:tcW w:type="dxa" w:w="850"/>
            <w:shd w:val="clear" w:color="auto" w:fill="F2F8F7"/>
          </w:tcPr>
          <w:p>
            <w:pPr>
              <w:spacing w:before="60" w:after="60"/>
            </w:pPr>
            <w:r>
              <w:rPr>
                <w:sz w:val="18"/>
              </w:rPr>
              <w:t>2.009</w:t>
            </w:r>
          </w:p>
        </w:tc>
        <w:tc>
          <w:tcPr>
            <w:tcW w:type="dxa" w:w="794"/>
            <w:shd w:val="clear" w:color="auto" w:fill="F2F8F7"/>
          </w:tcPr>
          <w:p>
            <w:pPr>
              <w:spacing w:before="60" w:after="60"/>
            </w:pPr>
            <w:r>
              <w:rPr>
                <w:sz w:val="18"/>
              </w:rPr>
              <w:t>17.086</w:t>
            </w:r>
          </w:p>
        </w:tc>
        <w:tc>
          <w:tcPr>
            <w:tcW w:type="dxa" w:w="794"/>
            <w:shd w:val="clear" w:color="auto" w:fill="F2F8F7"/>
          </w:tcPr>
          <w:p>
            <w:pPr>
              <w:spacing w:before="60" w:after="60"/>
            </w:pPr>
            <w:r>
              <w:rPr>
                <w:sz w:val="18"/>
              </w:rPr>
              <w:t>25.674</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flowserve_us_raleigh_n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increasing, but remains good against the target.</w:t>
      </w:r>
      <w:r>
        <w:br/>
      </w:r>
      <w:r>
        <w:rPr>
          <w:i/>
          <w:color w:val="333333"/>
          <w:sz w:val="19"/>
        </w:rPr>
        <w:t>Mild steel corrosion increased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corrosion is still protected, but increasing movement should be checked against product and ORP trends.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flowserve_us_raleigh_n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89.6 ppm at the start to 90.9 ppm at the end.</w:t>
      </w:r>
      <w:r>
        <w:br/>
      </w:r>
      <w:r>
        <w:rPr>
          <w:i/>
          <w:color w:val="333333"/>
          <w:sz w:val="19"/>
        </w:rPr>
        <w:t>The Traced Product average was above the configured range. The monthly in-range performance was 29.9%.</w:t>
      </w:r>
      <w:r>
        <w:br/>
      </w:r>
      <w:r>
        <w:rPr>
          <w:i/>
          <w:color w:val="333333"/>
          <w:sz w:val="19"/>
        </w:rPr>
        <w:t>Likely reason: conductivity was not maintained, so the Traced Product variation should be tied to conductivity control before assigning another cause.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flowserve_us_raleigh_n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flowserve_us_raleigh_n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78283"/>
            <wp:docPr id="5" name="Picture 5"/>
            <wp:cNvGraphicFramePr>
              <a:graphicFrameLocks noChangeAspect="1"/>
            </wp:cNvGraphicFramePr>
            <a:graphic>
              <a:graphicData uri="http://schemas.openxmlformats.org/drawingml/2006/picture">
                <pic:pic>
                  <pic:nvPicPr>
                    <pic:cNvPr id="0" name="flowserve_us_raleigh_nc_us_august_2026_conductivity.png"/>
                    <pic:cNvPicPr/>
                  </pic:nvPicPr>
                  <pic:blipFill>
                    <a:blip r:embed="rId15"/>
                    <a:stretch>
                      <a:fillRect/>
                    </a:stretch>
                  </pic:blipFill>
                  <pic:spPr>
                    <a:xfrm>
                      <a:off x="0" y="0"/>
                      <a:ext cx="5486400" cy="2578283"/>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stable and needs attention against the target.</w:t>
      </w:r>
      <w:r>
        <w:br/>
      </w:r>
      <w:r>
        <w:rPr>
          <w:i/>
          <w:color w:val="333333"/>
          <w:sz w:val="19"/>
        </w:rPr>
        <w:t>The trend moved from about 889.4 µS/cm at the start to 893.9 µS/cm at the end.</w:t>
      </w:r>
      <w:r>
        <w:br/>
      </w:r>
      <w:r>
        <w:rPr>
          <w:i/>
          <w:color w:val="333333"/>
          <w:sz w:val="19"/>
        </w:rPr>
        <w:t>The conductivity average was below the configured range. The monthly in-range performance was 13.2%.</w:t>
      </w:r>
      <w:r>
        <w:br/>
      </w:r>
      <w:r>
        <w:rPr>
          <w:i/>
          <w:color w:val="333333"/>
          <w:sz w:val="19"/>
        </w:rPr>
        <w:t>Likely reason: dilution, water loss, excess blowdown, or makeup changes are keeping conductivity low.</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Flowserve showed Excellent corrosion control and Acceptable microbial control, while water efficiency and Traced Product consistency need follow-up. The primary action is to investigate low conductivity and possible dilution, excess blowdown, makeup change, or water loss, then confirm product residual response after conductivity control is stabilized.</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