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0.6119 MPY against the target of within 3.0 MPY, and the average copper corrosion rate was 0.0200 MPY against the target of within 0.5 MPY. Status: Excellent. Corrosion control was Excellent because both metals remained below their target limits during the August reporting period. Mild steel corrosion increased later in the month while copper corrosion decreased, so the mild steel movement should continue to be compared with product residual and ORP trends.</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29.9% of the reporting month. Polymer consumption rate averaged 62.5% and increased from 60.2% at the start of the month to 65.6% at the end of the month. Conductivity was within the Controller Setpoint control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