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0.61 MPY against the target of within 3.0 MPY, and the average copper corrosion rate was 0.02 MPY against the target of within 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29.9% of the reporting month. Polymer consumption rate averaged 62.5% and increased from 60.2% at the start of the month to 65.6% at the end of the month. Conductivity was within the Controller Setpoint control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