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60"/>
        <w:jc w:val="center"/>
      </w:pPr>
      <w:r>
        <w:rPr>
          <w:b/>
          <w:i w:val="0"/>
          <w:color w:val="444444"/>
          <w:sz w:val="20"/>
        </w:rPr>
        <w:t>BUCKMAN DIGITAL WATER</w:t>
      </w:r>
    </w:p>
    <w:p>
      <w:pPr>
        <w:spacing w:before="60" w:after="60"/>
        <w:jc w:val="center"/>
      </w:pPr>
      <w:r>
        <w:rPr>
          <w:b/>
          <w:i w:val="0"/>
          <w:sz w:val="40"/>
        </w:rPr>
        <w:t>Monthly Cooling Water Performance Report</w:t>
      </w:r>
    </w:p>
    <w:p>
      <w:pPr>
        <w:spacing w:before="60" w:after="200"/>
        <w:jc w:val="center"/>
      </w:pPr>
      <w:r>
        <w:rPr>
          <w:b/>
          <w:i w:val="0"/>
          <w:color w:val="00857C"/>
          <w:sz w:val="30"/>
        </w:rPr>
        <w:t>Flowserve US Raleigh NC (US)</w:t>
      </w:r>
    </w:p>
    <w:p>
      <w:pPr>
        <w:spacing w:before="60" w:after="360"/>
        <w:jc w:val="center"/>
      </w:pPr>
      <w:r>
        <w:rPr>
          <w:b w:val="0"/>
          <w:i w:val="0"/>
          <w:color w:val="444444"/>
          <w:sz w:val="20"/>
        </w:rPr>
        <w:t>Reporting Month: August 2026</w:t>
      </w:r>
    </w:p>
    <w:tbl>
      <w:tblPr>
        <w:tblStyle w:val="TableGrid"/>
        <w:tblW w:type="auto" w:w="0"/>
        <w:tblLook w:firstColumn="1" w:firstRow="1" w:lastColumn="0" w:lastRow="0" w:noHBand="0" w:noVBand="1" w:val="04A0"/>
      </w:tblPr>
      <w:tblGrid>
        <w:gridCol w:w="2521"/>
        <w:gridCol w:w="2521"/>
        <w:gridCol w:w="2521"/>
        <w:gridCol w:w="2521"/>
      </w:tblGrid>
      <w:tr>
        <w:tc>
          <w:tcPr>
            <w:tcW w:type="dxa" w:w="3118"/>
            <w:shd w:val="clear" w:color="auto" w:fill="00857C"/>
          </w:tcPr>
          <w:p>
            <w:pPr>
              <w:spacing w:before="60" w:after="60"/>
            </w:pPr>
            <w:r>
              <w:rPr>
                <w:b/>
                <w:color w:val="FFFFFF"/>
                <w:sz w:val="18"/>
              </w:rPr>
              <w:t>Customer / Site</w:t>
            </w:r>
          </w:p>
        </w:tc>
        <w:tc>
          <w:tcPr>
            <w:tcW w:type="dxa" w:w="1701"/>
            <w:shd w:val="clear" w:color="auto" w:fill="00857C"/>
          </w:tcPr>
          <w:p>
            <w:pPr>
              <w:spacing w:before="60" w:after="60"/>
            </w:pPr>
            <w:r>
              <w:rPr>
                <w:b/>
                <w:color w:val="FFFFFF"/>
                <w:sz w:val="18"/>
              </w:rPr>
              <w:t>System</w:t>
            </w:r>
          </w:p>
        </w:tc>
        <w:tc>
          <w:tcPr>
            <w:tcW w:type="dxa" w:w="1984"/>
            <w:shd w:val="clear" w:color="auto" w:fill="00857C"/>
          </w:tcPr>
          <w:p>
            <w:pPr>
              <w:spacing w:before="60" w:after="60"/>
            </w:pPr>
            <w:r>
              <w:rPr>
                <w:b/>
                <w:color w:val="FFFFFF"/>
                <w:sz w:val="18"/>
              </w:rPr>
              <w:t>Controller</w:t>
            </w:r>
          </w:p>
        </w:tc>
        <w:tc>
          <w:tcPr>
            <w:tcW w:type="dxa" w:w="2551"/>
            <w:shd w:val="clear" w:color="auto" w:fill="00857C"/>
          </w:tcPr>
          <w:p>
            <w:pPr>
              <w:spacing w:before="60" w:after="60"/>
            </w:pPr>
            <w:r>
              <w:rPr>
                <w:b/>
                <w:color w:val="FFFFFF"/>
                <w:sz w:val="18"/>
              </w:rPr>
              <w:t>Prepared For</w:t>
            </w:r>
          </w:p>
        </w:tc>
      </w:tr>
      <w:tr>
        <w:tc>
          <w:tcPr>
            <w:tcW w:type="dxa" w:w="3118"/>
            <w:shd w:val="clear" w:color="auto" w:fill="FFFFFF"/>
          </w:tcPr>
          <w:p>
            <w:pPr>
              <w:spacing w:before="60" w:after="60"/>
            </w:pPr>
            <w:r>
              <w:rPr>
                <w:sz w:val="18"/>
              </w:rPr>
              <w:t>Flowserve US Raleigh NC (US)</w:t>
            </w:r>
          </w:p>
        </w:tc>
        <w:tc>
          <w:tcPr>
            <w:tcW w:type="dxa" w:w="1701"/>
            <w:shd w:val="clear" w:color="auto" w:fill="FFFFFF"/>
          </w:tcPr>
          <w:p>
            <w:pPr>
              <w:spacing w:before="60" w:after="60"/>
            </w:pPr>
            <w:r>
              <w:rPr>
                <w:sz w:val="18"/>
              </w:rPr>
              <w:t>Cooling Tower</w:t>
            </w:r>
          </w:p>
        </w:tc>
        <w:tc>
          <w:tcPr>
            <w:tcW w:type="dxa" w:w="1984"/>
            <w:shd w:val="clear" w:color="auto" w:fill="FFFFFF"/>
          </w:tcPr>
          <w:p>
            <w:pPr>
              <w:spacing w:before="60" w:after="60"/>
            </w:pPr>
            <w:r>
              <w:rPr>
                <w:sz w:val="18"/>
              </w:rPr>
              <w:t>84253F5EE1C9</w:t>
            </w:r>
          </w:p>
        </w:tc>
        <w:tc>
          <w:tcPr>
            <w:tcW w:type="dxa" w:w="2551"/>
            <w:shd w:val="clear" w:color="auto" w:fill="FFFFFF"/>
          </w:tcPr>
          <w:p>
            <w:pPr>
              <w:spacing w:before="60" w:after="60"/>
            </w:pPr>
            <w:r>
              <w:rPr>
                <w:sz w:val="18"/>
              </w:rPr>
              <w:t>Monthly Performance Review</w:t>
            </w:r>
          </w:p>
        </w:tc>
      </w:tr>
    </w:tbl>
    <w:p/>
    <w:p>
      <w:pPr>
        <w:spacing w:before="200" w:after="120"/>
        <w:jc w:val="left"/>
      </w:pPr>
    </w:p>
    <w:p>
      <w:pPr>
        <w:spacing w:before="80" w:after="120"/>
        <w:jc w:val="center"/>
      </w:pPr>
      <w:r>
        <w:rPr>
          <w:b w:val="0"/>
          <w:i w:val="0"/>
          <w:color w:val="444444"/>
          <w:sz w:val="19"/>
        </w:rPr>
        <w:t>This report summarises corrosion control, scale control, microbial control, water efficiency, product efficiency, and proactive system support for Flowserve US Raleigh NC (US), August 2026, using controller setpoints, telemetry KPIs, field data, and service note records.</w:t>
      </w:r>
    </w:p>
    <w:p>
      <w:pPr>
        <w:spacing w:before="200" w:after="120"/>
        <w:jc w:val="left"/>
      </w:pPr>
    </w:p>
    <w:tbl>
      <w:tblPr>
        <w:tblStyle w:val="TableGrid"/>
        <w:tblW w:type="auto" w:w="0"/>
        <w:tblLook w:firstColumn="1" w:firstRow="1" w:lastColumn="0" w:lastRow="0" w:noHBand="0" w:noVBand="1" w:val="04A0"/>
      </w:tblPr>
      <w:tblGrid>
        <w:gridCol w:w="3362"/>
        <w:gridCol w:w="3362"/>
        <w:gridCol w:w="3362"/>
      </w:tblGrid>
      <w:tr>
        <w:tc>
          <w:tcPr>
            <w:tcW w:type="dxa" w:w="3118"/>
            <w:shd w:val="clear" w:color="auto" w:fill="00857C"/>
          </w:tcPr>
          <w:p>
            <w:pPr>
              <w:spacing w:before="60" w:after="60"/>
            </w:pPr>
            <w:r>
              <w:rPr>
                <w:b/>
                <w:color w:val="FFFFFF"/>
                <w:sz w:val="18"/>
              </w:rPr>
              <w:t>Prepared By</w:t>
            </w:r>
          </w:p>
        </w:tc>
        <w:tc>
          <w:tcPr>
            <w:tcW w:type="dxa" w:w="2835"/>
            <w:shd w:val="clear" w:color="auto" w:fill="00857C"/>
          </w:tcPr>
          <w:p>
            <w:pPr>
              <w:spacing w:before="60" w:after="60"/>
            </w:pPr>
            <w:r>
              <w:rPr>
                <w:b/>
                <w:color w:val="FFFFFF"/>
                <w:sz w:val="18"/>
              </w:rPr>
              <w:t>Prepared Date</w:t>
            </w:r>
          </w:p>
        </w:tc>
        <w:tc>
          <w:tcPr>
            <w:tcW w:type="dxa" w:w="3402"/>
            <w:shd w:val="clear" w:color="auto" w:fill="00857C"/>
          </w:tcPr>
          <w:p>
            <w:pPr>
              <w:spacing w:before="60" w:after="60"/>
            </w:pPr>
            <w:r>
              <w:rPr>
                <w:b/>
                <w:color w:val="FFFFFF"/>
                <w:sz w:val="18"/>
              </w:rPr>
              <w:t>Report Status</w:t>
            </w:r>
          </w:p>
        </w:tc>
      </w:tr>
      <w:tr>
        <w:tc>
          <w:tcPr>
            <w:tcW w:type="dxa" w:w="3118"/>
            <w:shd w:val="clear" w:color="auto" w:fill="FFFFFF"/>
          </w:tcPr>
          <w:p>
            <w:pPr>
              <w:spacing w:before="60" w:after="60"/>
            </w:pPr>
            <w:r>
              <w:rPr>
                <w:sz w:val="18"/>
              </w:rPr>
              <w:t>Buckman Digital Water</w:t>
            </w:r>
          </w:p>
        </w:tc>
        <w:tc>
          <w:tcPr>
            <w:tcW w:type="dxa" w:w="2835"/>
            <w:shd w:val="clear" w:color="auto" w:fill="FFFFFF"/>
          </w:tcPr>
          <w:p>
            <w:pPr>
              <w:spacing w:before="60" w:after="60"/>
            </w:pPr>
            <w:r>
              <w:rPr>
                <w:sz w:val="18"/>
              </w:rPr>
              <w:t>08 September 2026</w:t>
            </w:r>
          </w:p>
        </w:tc>
        <w:tc>
          <w:tcPr>
            <w:tcW w:type="dxa" w:w="3402"/>
            <w:shd w:val="clear" w:color="auto" w:fill="FFFFFF"/>
          </w:tcPr>
          <w:p>
            <w:pPr>
              <w:spacing w:before="60" w:after="60"/>
            </w:pPr>
            <w:r>
              <w:rPr>
                <w:sz w:val="18"/>
              </w:rPr>
              <w:t>Draft</w:t>
            </w:r>
          </w:p>
        </w:tc>
      </w:tr>
    </w:tbl>
    <w:p/>
    <w:p>
      <w:r>
        <w:br w:type="page"/>
      </w:r>
    </w:p>
    <w:p>
      <w:pPr>
        <w:pBdr>
          <w:bottom w:val="single" w:sz="8" w:space="4" w:color="00857C"/>
        </w:pBdr>
        <w:spacing w:before="280" w:after="80"/>
      </w:pPr>
      <w:r>
        <w:rPr>
          <w:b/>
          <w:color w:val="00857C"/>
          <w:sz w:val="32"/>
        </w:rPr>
        <w:t>Executive Summary</w:t>
      </w:r>
    </w:p>
    <w:p>
      <w:pPr>
        <w:spacing w:before="200" w:after="60"/>
      </w:pPr>
      <w:r>
        <w:rPr>
          <w:b/>
          <w:color w:val="005F58"/>
          <w:sz w:val="26"/>
        </w:rPr>
        <w:t>System Health Check</w:t>
      </w:r>
    </w:p>
    <w:p>
      <w:pPr>
        <w:spacing w:before="160" w:after="40"/>
      </w:pPr>
      <w:r>
        <w:rPr>
          <w:b/>
          <w:color w:val="222222"/>
          <w:sz w:val="22"/>
        </w:rPr>
        <w:t>Corrosion Control</w:t>
      </w:r>
    </w:p>
    <w:p>
      <w:pPr>
        <w:spacing w:before="60" w:after="100"/>
      </w:pPr>
      <w:r>
        <w:rPr>
          <w:b/>
          <w:sz w:val="20"/>
        </w:rPr>
        <w:t xml:space="preserve">Status: </w:t>
      </w:r>
      <w:r>
        <w:rPr>
          <w:b/>
          <w:color w:val="00857C"/>
          <w:sz w:val="20"/>
        </w:rPr>
        <w:t>Excellent</w:t>
      </w:r>
    </w:p>
    <w:p>
      <w:pPr>
        <w:spacing w:before="80" w:after="120"/>
        <w:jc w:val="left"/>
      </w:pPr>
      <w:r>
        <w:rPr>
          <w:b w:val="0"/>
          <w:i w:val="0"/>
          <w:sz w:val="20"/>
        </w:rPr>
        <w:t>During the reporting period, the system remained under good control. The mild steel and copper corrosion rates averaged 0.61 mpy and 0.02 mpy, respectively, both of which are well within the recommended limits of &lt;5 mpy and &lt;0.5 mpy.</w:t>
      </w:r>
    </w:p>
    <w:p>
      <w:pPr>
        <w:spacing w:before="160" w:after="40"/>
      </w:pPr>
      <w:r>
        <w:rPr>
          <w:b/>
          <w:color w:val="222222"/>
          <w:sz w:val="22"/>
        </w:rPr>
        <w:t>Scale Control</w:t>
      </w:r>
    </w:p>
    <w:p>
      <w:pPr>
        <w:spacing w:before="60" w:after="100"/>
      </w:pPr>
      <w:r>
        <w:rPr>
          <w:b/>
          <w:sz w:val="20"/>
        </w:rPr>
        <w:t xml:space="preserve">Status: </w:t>
      </w:r>
      <w:r>
        <w:rPr>
          <w:b/>
          <w:color w:val="B8860B"/>
          <w:sz w:val="20"/>
        </w:rPr>
        <w:t>Acceptable</w:t>
      </w:r>
    </w:p>
    <w:p>
      <w:pPr>
        <w:spacing w:before="80" w:after="120"/>
        <w:jc w:val="left"/>
      </w:pPr>
      <w:r>
        <w:rPr>
          <w:b w:val="0"/>
          <w:i w:val="0"/>
          <w:sz w:val="20"/>
        </w:rPr>
        <w:t>Traced Product was within the Controller Setpoint control range for 29.9% of the reporting month. Polymer consumption rate averaged 62.5% and increased from 60.2% at the start of the month to 65.6% at the end of the month. Conductivity was within the Controller Setpoint control range for 13.2% of the reporting month. End-of-month Traced Product was 7.0% higher than the setpoint, and conductivity was also not maintained, so the product trend should be treated as conductivity-related until cycles, blowdown, makeup, or dilution behavior is corrected. Conductivity was below its setpoint configuration range for most of the same period, so water loss, dilution, or blowdown/makeup behavior should be inspected during the upcoming service visit. Because polymer consumption increased by more than 5%, phosphate residual will be checked during the upcoming service visit.</w:t>
      </w:r>
    </w:p>
    <w:p>
      <w:pPr>
        <w:spacing w:before="160" w:after="40"/>
      </w:pPr>
      <w:r>
        <w:rPr>
          <w:b/>
          <w:color w:val="222222"/>
          <w:sz w:val="22"/>
        </w:rPr>
        <w:t>Microbial Control</w:t>
      </w:r>
    </w:p>
    <w:p>
      <w:pPr>
        <w:spacing w:before="60" w:after="100"/>
      </w:pPr>
      <w:r>
        <w:rPr>
          <w:b/>
          <w:sz w:val="20"/>
        </w:rPr>
        <w:t xml:space="preserve">Status: </w:t>
      </w:r>
      <w:r>
        <w:rPr>
          <w:b/>
          <w:color w:val="B8860B"/>
          <w:sz w:val="20"/>
        </w:rPr>
        <w:t>Acceptable</w:t>
      </w:r>
    </w:p>
    <w:p>
      <w:pPr>
        <w:spacing w:before="80" w:after="120"/>
        <w:jc w:val="left"/>
      </w:pPr>
      <w:r>
        <w:rPr>
          <w:b w:val="0"/>
          <w:i w:val="0"/>
          <w:sz w:val="20"/>
        </w:rPr>
        <w:t>FRC data was not available in the field data for this reporting period and will be checked during the upcoming service visit. ORP did not show a strong spike response pattern during the month, but biocide relay activity was present, supporting an Acceptable microbial control status pending field residual confirmation. Copper corrosion remained within target, indicating no copper corrosion upset was observed during the reporting period.</w:t>
      </w:r>
    </w:p>
    <w:p>
      <w:pPr>
        <w:spacing w:before="80" w:after="120"/>
        <w:jc w:val="left"/>
      </w:pPr>
      <w:r>
        <w:rPr>
          <w:b w:val="0"/>
          <w:i w:val="0"/>
          <w:sz w:val="20"/>
        </w:rPr>
        <w:t>Dip-slide analysis was not available for this reporting period and will be measured during the upcoming service visit.</w:t>
      </w:r>
    </w:p>
    <w:p>
      <w:pPr>
        <w:spacing w:before="200" w:after="60"/>
      </w:pPr>
      <w:r>
        <w:rPr>
          <w:b/>
          <w:color w:val="005F58"/>
          <w:sz w:val="26"/>
        </w:rPr>
        <w:t>Water Efficiency</w:t>
      </w:r>
    </w:p>
    <w:p>
      <w:pPr>
        <w:spacing w:before="80" w:after="120"/>
        <w:jc w:val="left"/>
      </w:pPr>
      <w:r>
        <w:rPr>
          <w:b w:val="0"/>
          <w:i w:val="0"/>
          <w:sz w:val="20"/>
        </w:rPr>
        <w:t>Makeup water conductivity is not available for this site. Actual cycles of concentration cannot be calculated. Makeup conductivity should be captured at the next service visit.</w:t>
      </w:r>
    </w:p>
    <w:p>
      <w:pPr>
        <w:spacing w:before="80" w:after="120"/>
        <w:jc w:val="left"/>
      </w:pPr>
      <w:r>
        <w:rPr>
          <w:b w:val="0"/>
          <w:i w:val="0"/>
          <w:sz w:val="20"/>
        </w:rPr>
        <w:t>Water efficiency was Critical. Conductivity averaged 891.67 uS/cm against the 930.00-970.00 uS/cm Controller Setpoint range, with only 13.2% of readings in range. Conductivity stayed below the configured range and moved slightly from about 889.4 uS/cm early to 893.9 uS/cm later in the month. Makeup conductivity was not available, so actual cycles of concentration could not be calculated; dilution, water loss, excess blowdown, or makeup changes should be reviewed.</w:t>
      </w:r>
    </w:p>
    <w:p>
      <w:pPr>
        <w:spacing w:before="200" w:after="60"/>
      </w:pPr>
      <w:r>
        <w:rPr>
          <w:b/>
          <w:color w:val="005F58"/>
          <w:sz w:val="26"/>
        </w:rPr>
        <w:t>Product Efficiency</w:t>
      </w:r>
    </w:p>
    <w:p>
      <w:pPr>
        <w:spacing w:before="60" w:after="100"/>
      </w:pPr>
      <w:r>
        <w:rPr>
          <w:b/>
          <w:sz w:val="20"/>
        </w:rPr>
        <w:t xml:space="preserve">Status: </w:t>
      </w:r>
      <w:r>
        <w:rPr>
          <w:b/>
          <w:color w:val="B8860B"/>
          <w:sz w:val="20"/>
        </w:rPr>
        <w:t>Acceptable</w:t>
      </w:r>
    </w:p>
    <w:p>
      <w:pPr>
        <w:spacing w:before="80" w:after="120"/>
        <w:jc w:val="left"/>
      </w:pPr>
      <w:r>
        <w:rPr>
          <w:b w:val="0"/>
          <w:i w:val="0"/>
          <w:sz w:val="20"/>
        </w:rPr>
        <w:t>Product efficiency needs attention because Traced Product averaged 90.26 ppm against the 85.00 ppm setpoint and the 82.00-88.00 ppm control range, with only 29.9% of readings in range. Because conductivity was also not maintained, product-control review should first be tied to conductivity, blowdown, makeup, dilution, or water-loss behavior before changing feed settings.</w:t>
      </w:r>
    </w:p>
    <w:p>
      <w:pPr>
        <w:spacing w:before="200" w:after="60"/>
      </w:pPr>
      <w:r>
        <w:rPr>
          <w:b/>
          <w:color w:val="005F58"/>
          <w:sz w:val="26"/>
        </w:rPr>
        <w:t>Proactive System Support</w:t>
      </w:r>
    </w:p>
    <w:p>
      <w:pPr>
        <w:spacing w:before="80" w:after="120"/>
        <w:jc w:val="left"/>
      </w:pPr>
      <w:r>
        <w:rPr>
          <w:b w:val="0"/>
          <w:i w:val="0"/>
          <w:sz w:val="20"/>
        </w:rPr>
        <w:t>No service notes were recorded for the August reporting period. Recommended follow-up: Confirm inhibitor residual, inspect for deposit activity, and compare corrosion movement with ORP and product trends. Traced Product was not maintained while conductivity was also not maintained, so treat the product issue as conductivity-related and check cycles, blowdown, makeup, and dilution behavior first. Capture makeup water conductivity during the next service visit so actual cycles of concentration can be verified. Check FRC during the upcoming service visit to confirm oxidizing biocide residual. Measure dip-slide CFU during the upcoming service visit to confirm microbial control. Verify phosphate and silica residuals during the next service visit.</w:t>
      </w:r>
    </w:p>
    <w:p>
      <w:r>
        <w:br w:type="page"/>
      </w:r>
    </w:p>
    <w:p>
      <w:pPr>
        <w:pBdr>
          <w:bottom w:val="single" w:sz="8" w:space="4" w:color="00857C"/>
        </w:pBdr>
        <w:spacing w:before="280" w:after="80"/>
      </w:pPr>
      <w:r>
        <w:rPr>
          <w:b/>
          <w:color w:val="00857C"/>
          <w:sz w:val="32"/>
        </w:rPr>
        <w:t>Performance Summary</w:t>
      </w:r>
    </w:p>
    <w:p>
      <w:pPr>
        <w:spacing w:before="80" w:after="120"/>
        <w:jc w:val="left"/>
      </w:pPr>
      <w:r>
        <w:rPr>
          <w:b w:val="0"/>
          <w:i/>
          <w:color w:val="444444"/>
          <w:sz w:val="18"/>
        </w:rPr>
        <w:t>Controller Setpoints are used as control limits below. % In Range is calculated from the full reporting month telemetry.</w:t>
      </w:r>
    </w:p>
    <w:tbl>
      <w:tblPr>
        <w:tblStyle w:val="TableGrid"/>
        <w:tblW w:type="auto" w:w="0"/>
        <w:tblLook w:firstColumn="1" w:firstRow="1" w:lastColumn="0" w:lastRow="0" w:noHBand="0" w:noVBand="1" w:val="04A0"/>
      </w:tblPr>
      <w:tblGrid>
        <w:gridCol w:w="1009"/>
        <w:gridCol w:w="1009"/>
        <w:gridCol w:w="1009"/>
        <w:gridCol w:w="1009"/>
        <w:gridCol w:w="1009"/>
        <w:gridCol w:w="1009"/>
        <w:gridCol w:w="1009"/>
        <w:gridCol w:w="1009"/>
        <w:gridCol w:w="1009"/>
        <w:gridCol w:w="1009"/>
      </w:tblGrid>
      <w:tr>
        <w:tc>
          <w:tcPr>
            <w:tcW w:type="dxa" w:w="1814"/>
            <w:shd w:val="clear" w:color="auto" w:fill="00857C"/>
          </w:tcPr>
          <w:p>
            <w:pPr>
              <w:spacing w:before="60" w:after="60"/>
            </w:pPr>
            <w:r>
              <w:rPr>
                <w:b/>
                <w:color w:val="FFFFFF"/>
                <w:sz w:val="18"/>
              </w:rPr>
              <w:t>Parameter</w:t>
            </w:r>
          </w:p>
        </w:tc>
        <w:tc>
          <w:tcPr>
            <w:tcW w:type="dxa" w:w="1247"/>
            <w:shd w:val="clear" w:color="auto" w:fill="00857C"/>
          </w:tcPr>
          <w:p>
            <w:pPr>
              <w:spacing w:before="60" w:after="60"/>
            </w:pPr>
            <w:r>
              <w:rPr>
                <w:b/>
                <w:color w:val="FFFFFF"/>
                <w:sz w:val="18"/>
              </w:rPr>
              <w:t>Context Point</w:t>
            </w:r>
          </w:p>
        </w:tc>
        <w:tc>
          <w:tcPr>
            <w:tcW w:type="dxa" w:w="850"/>
            <w:shd w:val="clear" w:color="auto" w:fill="00857C"/>
          </w:tcPr>
          <w:p>
            <w:pPr>
              <w:spacing w:before="60" w:after="60"/>
            </w:pPr>
            <w:r>
              <w:rPr>
                <w:b/>
                <w:color w:val="FFFFFF"/>
                <w:sz w:val="18"/>
              </w:rPr>
              <w:t>Average</w:t>
            </w:r>
          </w:p>
        </w:tc>
        <w:tc>
          <w:tcPr>
            <w:tcW w:type="dxa" w:w="850"/>
            <w:shd w:val="clear" w:color="auto" w:fill="00857C"/>
          </w:tcPr>
          <w:p>
            <w:pPr>
              <w:spacing w:before="60" w:after="60"/>
            </w:pPr>
            <w:r>
              <w:rPr>
                <w:b/>
                <w:color w:val="FFFFFF"/>
                <w:sz w:val="18"/>
              </w:rPr>
              <w:t>Std Dev</w:t>
            </w:r>
          </w:p>
        </w:tc>
        <w:tc>
          <w:tcPr>
            <w:tcW w:type="dxa" w:w="794"/>
            <w:shd w:val="clear" w:color="auto" w:fill="00857C"/>
          </w:tcPr>
          <w:p>
            <w:pPr>
              <w:spacing w:before="60" w:after="60"/>
            </w:pPr>
            <w:r>
              <w:rPr>
                <w:b/>
                <w:color w:val="FFFFFF"/>
                <w:sz w:val="18"/>
              </w:rPr>
              <w:t>Min</w:t>
            </w:r>
          </w:p>
        </w:tc>
        <w:tc>
          <w:tcPr>
            <w:tcW w:type="dxa" w:w="794"/>
            <w:shd w:val="clear" w:color="auto" w:fill="00857C"/>
          </w:tcPr>
          <w:p>
            <w:pPr>
              <w:spacing w:before="60" w:after="60"/>
            </w:pPr>
            <w:r>
              <w:rPr>
                <w:b/>
                <w:color w:val="FFFFFF"/>
                <w:sz w:val="18"/>
              </w:rPr>
              <w:t>Max</w:t>
            </w:r>
          </w:p>
        </w:tc>
        <w:tc>
          <w:tcPr>
            <w:tcW w:type="dxa" w:w="964"/>
            <w:shd w:val="clear" w:color="auto" w:fill="00857C"/>
          </w:tcPr>
          <w:p>
            <w:pPr>
              <w:spacing w:before="60" w:after="60"/>
            </w:pPr>
            <w:r>
              <w:rPr>
                <w:b/>
                <w:color w:val="FFFFFF"/>
                <w:sz w:val="18"/>
              </w:rPr>
              <w:t>Lower Limit</w:t>
            </w:r>
          </w:p>
        </w:tc>
        <w:tc>
          <w:tcPr>
            <w:tcW w:type="dxa" w:w="964"/>
            <w:shd w:val="clear" w:color="auto" w:fill="00857C"/>
          </w:tcPr>
          <w:p>
            <w:pPr>
              <w:spacing w:before="60" w:after="60"/>
            </w:pPr>
            <w:r>
              <w:rPr>
                <w:b/>
                <w:color w:val="FFFFFF"/>
                <w:sz w:val="18"/>
              </w:rPr>
              <w:t>Upper Limit</w:t>
            </w:r>
          </w:p>
        </w:tc>
        <w:tc>
          <w:tcPr>
            <w:tcW w:type="dxa" w:w="1020"/>
            <w:shd w:val="clear" w:color="auto" w:fill="00857C"/>
          </w:tcPr>
          <w:p>
            <w:pPr>
              <w:spacing w:before="60" w:after="60"/>
            </w:pPr>
            <w:r>
              <w:rPr>
                <w:b/>
                <w:color w:val="FFFFFF"/>
                <w:sz w:val="18"/>
              </w:rPr>
              <w:t>% In Range</w:t>
            </w:r>
          </w:p>
        </w:tc>
        <w:tc>
          <w:tcPr>
            <w:tcW w:type="dxa" w:w="1247"/>
            <w:shd w:val="clear" w:color="auto" w:fill="00857C"/>
          </w:tcPr>
          <w:p>
            <w:pPr>
              <w:spacing w:before="60" w:after="60"/>
            </w:pPr>
            <w:r>
              <w:rPr>
                <w:b/>
                <w:color w:val="FFFFFF"/>
                <w:sz w:val="18"/>
              </w:rPr>
              <w:t>Status</w:t>
            </w:r>
          </w:p>
        </w:tc>
      </w:tr>
      <w:tr>
        <w:tc>
          <w:tcPr>
            <w:tcW w:type="dxa" w:w="1814"/>
            <w:shd w:val="clear" w:color="auto" w:fill="FFFFFF"/>
          </w:tcPr>
          <w:p>
            <w:pPr>
              <w:spacing w:before="60" w:after="60"/>
            </w:pPr>
            <w:r>
              <w:rPr>
                <w:sz w:val="18"/>
              </w:rPr>
              <w:t>Corrosion – MS (MPY)</w:t>
            </w:r>
          </w:p>
        </w:tc>
        <w:tc>
          <w:tcPr>
            <w:tcW w:type="dxa" w:w="1247"/>
            <w:shd w:val="clear" w:color="auto" w:fill="FFFFFF"/>
          </w:tcPr>
          <w:p>
            <w:pPr>
              <w:spacing w:before="60" w:after="60"/>
            </w:pPr>
            <w:r>
              <w:rPr>
                <w:sz w:val="18"/>
              </w:rPr>
              <w:t>ACM Skid</w:t>
            </w:r>
          </w:p>
        </w:tc>
        <w:tc>
          <w:tcPr>
            <w:tcW w:type="dxa" w:w="850"/>
            <w:shd w:val="clear" w:color="auto" w:fill="FFFFFF"/>
          </w:tcPr>
          <w:p>
            <w:pPr>
              <w:spacing w:before="60" w:after="60"/>
            </w:pPr>
            <w:r>
              <w:rPr>
                <w:sz w:val="18"/>
              </w:rPr>
              <w:t>0.612</w:t>
            </w:r>
          </w:p>
        </w:tc>
        <w:tc>
          <w:tcPr>
            <w:tcW w:type="dxa" w:w="850"/>
            <w:shd w:val="clear" w:color="auto" w:fill="FFFFFF"/>
          </w:tcPr>
          <w:p>
            <w:pPr>
              <w:spacing w:before="60" w:after="60"/>
            </w:pPr>
            <w:r>
              <w:rPr>
                <w:sz w:val="18"/>
              </w:rPr>
              <w:t>0.220</w:t>
            </w:r>
          </w:p>
        </w:tc>
        <w:tc>
          <w:tcPr>
            <w:tcW w:type="dxa" w:w="794"/>
            <w:shd w:val="clear" w:color="auto" w:fill="FFFFFF"/>
          </w:tcPr>
          <w:p>
            <w:pPr>
              <w:spacing w:before="60" w:after="60"/>
            </w:pPr>
            <w:r>
              <w:rPr>
                <w:sz w:val="18"/>
              </w:rPr>
              <w:t>0.249</w:t>
            </w:r>
          </w:p>
        </w:tc>
        <w:tc>
          <w:tcPr>
            <w:tcW w:type="dxa" w:w="794"/>
            <w:shd w:val="clear" w:color="auto" w:fill="FFFFFF"/>
          </w:tcPr>
          <w:p>
            <w:pPr>
              <w:spacing w:before="60" w:after="60"/>
            </w:pPr>
            <w:r>
              <w:rPr>
                <w:sz w:val="18"/>
              </w:rPr>
              <w:t>1.924</w:t>
            </w:r>
          </w:p>
        </w:tc>
        <w:tc>
          <w:tcPr>
            <w:tcW w:type="dxa" w:w="964"/>
            <w:shd w:val="clear" w:color="auto" w:fill="FFFFFF"/>
          </w:tcPr>
          <w:p>
            <w:pPr>
              <w:spacing w:before="60" w:after="60"/>
            </w:pPr>
            <w:r>
              <w:rPr>
                <w:sz w:val="18"/>
              </w:rPr>
              <w:t>0.00</w:t>
            </w:r>
          </w:p>
        </w:tc>
        <w:tc>
          <w:tcPr>
            <w:tcW w:type="dxa" w:w="964"/>
            <w:shd w:val="clear" w:color="auto" w:fill="FFFFFF"/>
          </w:tcPr>
          <w:p>
            <w:pPr>
              <w:spacing w:before="60" w:after="60"/>
            </w:pPr>
            <w:r>
              <w:rPr>
                <w:sz w:val="18"/>
              </w:rPr>
              <w:t>3.00</w:t>
            </w:r>
          </w:p>
        </w:tc>
        <w:tc>
          <w:tcPr>
            <w:tcW w:type="dxa" w:w="1020"/>
            <w:shd w:val="clear" w:color="auto" w:fill="FFFFFF"/>
          </w:tcPr>
          <w:p>
            <w:pPr>
              <w:spacing w:before="60" w:after="60"/>
            </w:pPr>
            <w:r>
              <w:rPr>
                <w:sz w:val="18"/>
              </w:rPr>
              <w:t>100.0%</w:t>
            </w:r>
          </w:p>
        </w:tc>
        <w:tc>
          <w:tcPr>
            <w:tcW w:type="dxa" w:w="1247"/>
            <w:shd w:val="clear" w:color="auto" w:fill="FFFFFF"/>
          </w:tcPr>
          <w:p>
            <w:pPr>
              <w:spacing w:before="60" w:after="60"/>
            </w:pPr>
            <w:r>
              <w:rPr>
                <w:sz w:val="18"/>
              </w:rPr>
              <w:t>✓ Excellent</w:t>
            </w:r>
          </w:p>
        </w:tc>
      </w:tr>
      <w:tr>
        <w:tc>
          <w:tcPr>
            <w:tcW w:type="dxa" w:w="1814"/>
            <w:shd w:val="clear" w:color="auto" w:fill="F2F8F7"/>
          </w:tcPr>
          <w:p>
            <w:pPr>
              <w:spacing w:before="60" w:after="60"/>
            </w:pPr>
            <w:r>
              <w:rPr>
                <w:sz w:val="18"/>
              </w:rPr>
              <w:t>Corrosion – Cu (MPY)</w:t>
            </w:r>
          </w:p>
        </w:tc>
        <w:tc>
          <w:tcPr>
            <w:tcW w:type="dxa" w:w="1247"/>
            <w:shd w:val="clear" w:color="auto" w:fill="F2F8F7"/>
          </w:tcPr>
          <w:p>
            <w:pPr>
              <w:spacing w:before="60" w:after="60"/>
            </w:pPr>
            <w:r>
              <w:rPr>
                <w:sz w:val="18"/>
              </w:rPr>
              <w:t>ACM Skid</w:t>
            </w:r>
          </w:p>
        </w:tc>
        <w:tc>
          <w:tcPr>
            <w:tcW w:type="dxa" w:w="850"/>
            <w:shd w:val="clear" w:color="auto" w:fill="F2F8F7"/>
          </w:tcPr>
          <w:p>
            <w:pPr>
              <w:spacing w:before="60" w:after="60"/>
            </w:pPr>
            <w:r>
              <w:rPr>
                <w:sz w:val="18"/>
              </w:rPr>
              <w:t>0.020</w:t>
            </w:r>
          </w:p>
        </w:tc>
        <w:tc>
          <w:tcPr>
            <w:tcW w:type="dxa" w:w="850"/>
            <w:shd w:val="clear" w:color="auto" w:fill="F2F8F7"/>
          </w:tcPr>
          <w:p>
            <w:pPr>
              <w:spacing w:before="60" w:after="60"/>
            </w:pPr>
            <w:r>
              <w:rPr>
                <w:sz w:val="18"/>
              </w:rPr>
              <w:t>0.010</w:t>
            </w:r>
          </w:p>
        </w:tc>
        <w:tc>
          <w:tcPr>
            <w:tcW w:type="dxa" w:w="794"/>
            <w:shd w:val="clear" w:color="auto" w:fill="F2F8F7"/>
          </w:tcPr>
          <w:p>
            <w:pPr>
              <w:spacing w:before="60" w:after="60"/>
            </w:pPr>
            <w:r>
              <w:rPr>
                <w:sz w:val="18"/>
              </w:rPr>
              <w:t>0.000</w:t>
            </w:r>
          </w:p>
        </w:tc>
        <w:tc>
          <w:tcPr>
            <w:tcW w:type="dxa" w:w="794"/>
            <w:shd w:val="clear" w:color="auto" w:fill="F2F8F7"/>
          </w:tcPr>
          <w:p>
            <w:pPr>
              <w:spacing w:before="60" w:after="60"/>
            </w:pPr>
            <w:r>
              <w:rPr>
                <w:sz w:val="18"/>
              </w:rPr>
              <w:t>0.092</w:t>
            </w:r>
          </w:p>
        </w:tc>
        <w:tc>
          <w:tcPr>
            <w:tcW w:type="dxa" w:w="964"/>
            <w:shd w:val="clear" w:color="auto" w:fill="F2F8F7"/>
          </w:tcPr>
          <w:p>
            <w:pPr>
              <w:spacing w:before="60" w:after="60"/>
            </w:pPr>
            <w:r>
              <w:rPr>
                <w:sz w:val="18"/>
              </w:rPr>
              <w:t>0.00</w:t>
            </w:r>
          </w:p>
        </w:tc>
        <w:tc>
          <w:tcPr>
            <w:tcW w:type="dxa" w:w="964"/>
            <w:shd w:val="clear" w:color="auto" w:fill="F2F8F7"/>
          </w:tcPr>
          <w:p>
            <w:pPr>
              <w:spacing w:before="60" w:after="60"/>
            </w:pPr>
            <w:r>
              <w:rPr>
                <w:sz w:val="18"/>
              </w:rPr>
              <w:t>0.50</w:t>
            </w:r>
          </w:p>
        </w:tc>
        <w:tc>
          <w:tcPr>
            <w:tcW w:type="dxa" w:w="1020"/>
            <w:shd w:val="clear" w:color="auto" w:fill="F2F8F7"/>
          </w:tcPr>
          <w:p>
            <w:pPr>
              <w:spacing w:before="60" w:after="60"/>
            </w:pPr>
            <w:r>
              <w:rPr>
                <w:sz w:val="18"/>
              </w:rPr>
              <w:t>100.0%</w:t>
            </w:r>
          </w:p>
        </w:tc>
        <w:tc>
          <w:tcPr>
            <w:tcW w:type="dxa" w:w="1247"/>
            <w:shd w:val="clear" w:color="auto" w:fill="F2F8F7"/>
          </w:tcPr>
          <w:p>
            <w:pPr>
              <w:spacing w:before="60" w:after="60"/>
            </w:pPr>
            <w:r>
              <w:rPr>
                <w:sz w:val="18"/>
              </w:rPr>
              <w:t>✓ Excellent</w:t>
            </w:r>
          </w:p>
        </w:tc>
      </w:tr>
      <w:tr>
        <w:tc>
          <w:tcPr>
            <w:tcW w:type="dxa" w:w="1814"/>
            <w:shd w:val="clear" w:color="auto" w:fill="FFFFFF"/>
          </w:tcPr>
          <w:p>
            <w:pPr>
              <w:spacing w:before="60" w:after="60"/>
            </w:pPr>
            <w:r>
              <w:rPr>
                <w:sz w:val="18"/>
              </w:rPr>
              <w:t>Traced Product (ppm)</w:t>
            </w:r>
          </w:p>
        </w:tc>
        <w:tc>
          <w:tcPr>
            <w:tcW w:type="dxa" w:w="1247"/>
            <w:shd w:val="clear" w:color="auto" w:fill="FFFFFF"/>
          </w:tcPr>
          <w:p>
            <w:pPr>
              <w:spacing w:before="60" w:after="60"/>
            </w:pPr>
            <w:r>
              <w:rPr>
                <w:sz w:val="18"/>
              </w:rPr>
              <w:t>ACM Skid</w:t>
            </w:r>
          </w:p>
        </w:tc>
        <w:tc>
          <w:tcPr>
            <w:tcW w:type="dxa" w:w="850"/>
            <w:shd w:val="clear" w:color="auto" w:fill="FFFFFF"/>
          </w:tcPr>
          <w:p>
            <w:pPr>
              <w:spacing w:before="60" w:after="60"/>
            </w:pPr>
            <w:r>
              <w:rPr>
                <w:sz w:val="18"/>
              </w:rPr>
              <w:t>90.262</w:t>
            </w:r>
          </w:p>
        </w:tc>
        <w:tc>
          <w:tcPr>
            <w:tcW w:type="dxa" w:w="850"/>
            <w:shd w:val="clear" w:color="auto" w:fill="FFFFFF"/>
          </w:tcPr>
          <w:p>
            <w:pPr>
              <w:spacing w:before="60" w:after="60"/>
            </w:pPr>
            <w:r>
              <w:rPr>
                <w:sz w:val="18"/>
              </w:rPr>
              <w:t>8.982</w:t>
            </w:r>
          </w:p>
        </w:tc>
        <w:tc>
          <w:tcPr>
            <w:tcW w:type="dxa" w:w="794"/>
            <w:shd w:val="clear" w:color="auto" w:fill="FFFFFF"/>
          </w:tcPr>
          <w:p>
            <w:pPr>
              <w:spacing w:before="60" w:after="60"/>
            </w:pPr>
            <w:r>
              <w:rPr>
                <w:sz w:val="18"/>
              </w:rPr>
              <w:t>75.095</w:t>
            </w:r>
          </w:p>
        </w:tc>
        <w:tc>
          <w:tcPr>
            <w:tcW w:type="dxa" w:w="794"/>
            <w:shd w:val="clear" w:color="auto" w:fill="FFFFFF"/>
          </w:tcPr>
          <w:p>
            <w:pPr>
              <w:spacing w:before="60" w:after="60"/>
            </w:pPr>
            <w:r>
              <w:rPr>
                <w:sz w:val="18"/>
              </w:rPr>
              <w:t>303.263</w:t>
            </w:r>
          </w:p>
        </w:tc>
        <w:tc>
          <w:tcPr>
            <w:tcW w:type="dxa" w:w="964"/>
            <w:shd w:val="clear" w:color="auto" w:fill="FFFFFF"/>
          </w:tcPr>
          <w:p>
            <w:pPr>
              <w:spacing w:before="60" w:after="60"/>
            </w:pPr>
            <w:r>
              <w:rPr>
                <w:sz w:val="18"/>
              </w:rPr>
              <w:t>82.0</w:t>
            </w:r>
          </w:p>
        </w:tc>
        <w:tc>
          <w:tcPr>
            <w:tcW w:type="dxa" w:w="964"/>
            <w:shd w:val="clear" w:color="auto" w:fill="FFFFFF"/>
          </w:tcPr>
          <w:p>
            <w:pPr>
              <w:spacing w:before="60" w:after="60"/>
            </w:pPr>
            <w:r>
              <w:rPr>
                <w:sz w:val="18"/>
              </w:rPr>
              <w:t>88.0</w:t>
            </w:r>
          </w:p>
        </w:tc>
        <w:tc>
          <w:tcPr>
            <w:tcW w:type="dxa" w:w="1020"/>
            <w:shd w:val="clear" w:color="auto" w:fill="FFFFFF"/>
          </w:tcPr>
          <w:p>
            <w:pPr>
              <w:spacing w:before="60" w:after="60"/>
            </w:pPr>
            <w:r>
              <w:rPr>
                <w:sz w:val="18"/>
              </w:rPr>
              <w:t>29.9%</w:t>
            </w:r>
          </w:p>
        </w:tc>
        <w:tc>
          <w:tcPr>
            <w:tcW w:type="dxa" w:w="1247"/>
            <w:shd w:val="clear" w:color="auto" w:fill="FFFFFF"/>
          </w:tcPr>
          <w:p>
            <w:pPr>
              <w:spacing w:before="60" w:after="60"/>
            </w:pPr>
            <w:r>
              <w:rPr>
                <w:sz w:val="18"/>
              </w:rPr>
              <w:t>⚠ Acceptable</w:t>
            </w:r>
          </w:p>
        </w:tc>
      </w:tr>
      <w:tr>
        <w:tc>
          <w:tcPr>
            <w:tcW w:type="dxa" w:w="1814"/>
            <w:shd w:val="clear" w:color="auto" w:fill="F2F8F7"/>
          </w:tcPr>
          <w:p>
            <w:pPr>
              <w:spacing w:before="60" w:after="60"/>
            </w:pPr>
            <w:r>
              <w:rPr>
                <w:sz w:val="18"/>
              </w:rPr>
              <w:t>Conductivity (µS/cm)</w:t>
            </w:r>
          </w:p>
        </w:tc>
        <w:tc>
          <w:tcPr>
            <w:tcW w:type="dxa" w:w="1247"/>
            <w:shd w:val="clear" w:color="auto" w:fill="F2F8F7"/>
          </w:tcPr>
          <w:p>
            <w:pPr>
              <w:spacing w:before="60" w:after="60"/>
            </w:pPr>
            <w:r>
              <w:rPr>
                <w:sz w:val="18"/>
              </w:rPr>
              <w:t>ACM Skid</w:t>
            </w:r>
          </w:p>
        </w:tc>
        <w:tc>
          <w:tcPr>
            <w:tcW w:type="dxa" w:w="850"/>
            <w:shd w:val="clear" w:color="auto" w:fill="F2F8F7"/>
          </w:tcPr>
          <w:p>
            <w:pPr>
              <w:spacing w:before="60" w:after="60"/>
            </w:pPr>
            <w:r>
              <w:rPr>
                <w:sz w:val="18"/>
              </w:rPr>
              <w:t>891.668</w:t>
            </w:r>
          </w:p>
        </w:tc>
        <w:tc>
          <w:tcPr>
            <w:tcW w:type="dxa" w:w="850"/>
            <w:shd w:val="clear" w:color="auto" w:fill="F2F8F7"/>
          </w:tcPr>
          <w:p>
            <w:pPr>
              <w:spacing w:before="60" w:after="60"/>
            </w:pPr>
            <w:r>
              <w:rPr>
                <w:sz w:val="18"/>
              </w:rPr>
              <w:t>36.697</w:t>
            </w:r>
          </w:p>
        </w:tc>
        <w:tc>
          <w:tcPr>
            <w:tcW w:type="dxa" w:w="794"/>
            <w:shd w:val="clear" w:color="auto" w:fill="F2F8F7"/>
          </w:tcPr>
          <w:p>
            <w:pPr>
              <w:spacing w:before="60" w:after="60"/>
            </w:pPr>
            <w:r>
              <w:rPr>
                <w:sz w:val="18"/>
              </w:rPr>
              <w:t>570.220</w:t>
            </w:r>
          </w:p>
        </w:tc>
        <w:tc>
          <w:tcPr>
            <w:tcW w:type="dxa" w:w="794"/>
            <w:shd w:val="clear" w:color="auto" w:fill="F2F8F7"/>
          </w:tcPr>
          <w:p>
            <w:pPr>
              <w:spacing w:before="60" w:after="60"/>
            </w:pPr>
            <w:r>
              <w:rPr>
                <w:sz w:val="18"/>
              </w:rPr>
              <w:t>967.757</w:t>
            </w:r>
          </w:p>
        </w:tc>
        <w:tc>
          <w:tcPr>
            <w:tcW w:type="dxa" w:w="964"/>
            <w:shd w:val="clear" w:color="auto" w:fill="F2F8F7"/>
          </w:tcPr>
          <w:p>
            <w:pPr>
              <w:spacing w:before="60" w:after="60"/>
            </w:pPr>
            <w:r>
              <w:rPr>
                <w:sz w:val="18"/>
              </w:rPr>
              <w:t>930</w:t>
            </w:r>
          </w:p>
        </w:tc>
        <w:tc>
          <w:tcPr>
            <w:tcW w:type="dxa" w:w="964"/>
            <w:shd w:val="clear" w:color="auto" w:fill="F2F8F7"/>
          </w:tcPr>
          <w:p>
            <w:pPr>
              <w:spacing w:before="60" w:after="60"/>
            </w:pPr>
            <w:r>
              <w:rPr>
                <w:sz w:val="18"/>
              </w:rPr>
              <w:t>970</w:t>
            </w:r>
          </w:p>
        </w:tc>
        <w:tc>
          <w:tcPr>
            <w:tcW w:type="dxa" w:w="1020"/>
            <w:shd w:val="clear" w:color="auto" w:fill="F2F8F7"/>
          </w:tcPr>
          <w:p>
            <w:pPr>
              <w:spacing w:before="60" w:after="60"/>
            </w:pPr>
            <w:r>
              <w:rPr>
                <w:sz w:val="18"/>
              </w:rPr>
              <w:t>13.2%</w:t>
            </w:r>
          </w:p>
        </w:tc>
        <w:tc>
          <w:tcPr>
            <w:tcW w:type="dxa" w:w="1247"/>
            <w:shd w:val="clear" w:color="auto" w:fill="F2F8F7"/>
          </w:tcPr>
          <w:p>
            <w:pPr>
              <w:spacing w:before="60" w:after="60"/>
            </w:pPr>
            <w:r>
              <w:rPr>
                <w:sz w:val="18"/>
              </w:rPr>
              <w:t>✗ Critical</w:t>
            </w:r>
          </w:p>
        </w:tc>
      </w:tr>
      <w:tr>
        <w:tc>
          <w:tcPr>
            <w:tcW w:type="dxa" w:w="1814"/>
            <w:shd w:val="clear" w:color="auto" w:fill="FFFFFF"/>
          </w:tcPr>
          <w:p>
            <w:pPr>
              <w:spacing w:before="60" w:after="60"/>
            </w:pPr>
            <w:r>
              <w:rPr>
                <w:sz w:val="18"/>
              </w:rPr>
              <w:t>pH</w:t>
            </w:r>
          </w:p>
        </w:tc>
        <w:tc>
          <w:tcPr>
            <w:tcW w:type="dxa" w:w="1247"/>
            <w:shd w:val="clear" w:color="auto" w:fill="FFFFFF"/>
          </w:tcPr>
          <w:p>
            <w:pPr>
              <w:spacing w:before="60" w:after="60"/>
            </w:pPr>
            <w:r>
              <w:rPr>
                <w:sz w:val="18"/>
              </w:rPr>
              <w:t>ACM Skid</w:t>
            </w:r>
          </w:p>
        </w:tc>
        <w:tc>
          <w:tcPr>
            <w:tcW w:type="dxa" w:w="850"/>
            <w:shd w:val="clear" w:color="auto" w:fill="FFFFFF"/>
          </w:tcPr>
          <w:p>
            <w:pPr>
              <w:spacing w:before="60" w:after="60"/>
            </w:pPr>
            <w:r>
              <w:rPr>
                <w:sz w:val="18"/>
              </w:rPr>
              <w:t>8.835</w:t>
            </w:r>
          </w:p>
        </w:tc>
        <w:tc>
          <w:tcPr>
            <w:tcW w:type="dxa" w:w="850"/>
            <w:shd w:val="clear" w:color="auto" w:fill="FFFFFF"/>
          </w:tcPr>
          <w:p>
            <w:pPr>
              <w:spacing w:before="60" w:after="60"/>
            </w:pPr>
            <w:r>
              <w:rPr>
                <w:sz w:val="18"/>
              </w:rPr>
              <w:t>0.151</w:t>
            </w:r>
          </w:p>
        </w:tc>
        <w:tc>
          <w:tcPr>
            <w:tcW w:type="dxa" w:w="794"/>
            <w:shd w:val="clear" w:color="auto" w:fill="FFFFFF"/>
          </w:tcPr>
          <w:p>
            <w:pPr>
              <w:spacing w:before="60" w:after="60"/>
            </w:pPr>
            <w:r>
              <w:rPr>
                <w:sz w:val="18"/>
              </w:rPr>
              <w:t>8.412</w:t>
            </w:r>
          </w:p>
        </w:tc>
        <w:tc>
          <w:tcPr>
            <w:tcW w:type="dxa" w:w="794"/>
            <w:shd w:val="clear" w:color="auto" w:fill="FFFFFF"/>
          </w:tcPr>
          <w:p>
            <w:pPr>
              <w:spacing w:before="60" w:after="60"/>
            </w:pPr>
            <w:r>
              <w:rPr>
                <w:sz w:val="18"/>
              </w:rPr>
              <w:t>9.055</w:t>
            </w:r>
          </w:p>
        </w:tc>
        <w:tc>
          <w:tcPr>
            <w:tcW w:type="dxa" w:w="964"/>
            <w:shd w:val="clear" w:color="auto" w:fill="FFFFFF"/>
          </w:tcPr>
          <w:p>
            <w:pPr>
              <w:spacing w:before="60" w:after="60"/>
            </w:pPr>
            <w:r>
              <w:rPr>
                <w:sz w:val="18"/>
              </w:rPr>
              <w:t>7.50</w:t>
            </w:r>
          </w:p>
        </w:tc>
        <w:tc>
          <w:tcPr>
            <w:tcW w:type="dxa" w:w="964"/>
            <w:shd w:val="clear" w:color="auto" w:fill="FFFFFF"/>
          </w:tcPr>
          <w:p>
            <w:pPr>
              <w:spacing w:before="60" w:after="60"/>
            </w:pPr>
            <w:r>
              <w:rPr>
                <w:sz w:val="18"/>
              </w:rPr>
              <w:t>10.00</w:t>
            </w:r>
          </w:p>
        </w:tc>
        <w:tc>
          <w:tcPr>
            <w:tcW w:type="dxa" w:w="1020"/>
            <w:shd w:val="clear" w:color="auto" w:fill="FFFFFF"/>
          </w:tcPr>
          <w:p>
            <w:pPr>
              <w:spacing w:before="60" w:after="60"/>
            </w:pPr>
            <w:r>
              <w:rPr>
                <w:sz w:val="18"/>
              </w:rPr>
              <w:t>100.0%</w:t>
            </w:r>
          </w:p>
        </w:tc>
        <w:tc>
          <w:tcPr>
            <w:tcW w:type="dxa" w:w="1247"/>
            <w:shd w:val="clear" w:color="auto" w:fill="FFFFFF"/>
          </w:tcPr>
          <w:p>
            <w:pPr>
              <w:spacing w:before="60" w:after="60"/>
            </w:pPr>
            <w:r>
              <w:rPr>
                <w:sz w:val="18"/>
              </w:rPr>
              <w:t>ℹ Info</w:t>
            </w:r>
          </w:p>
        </w:tc>
      </w:tr>
      <w:tr>
        <w:tc>
          <w:tcPr>
            <w:tcW w:type="dxa" w:w="1814"/>
            <w:shd w:val="clear" w:color="auto" w:fill="F2F8F7"/>
          </w:tcPr>
          <w:p>
            <w:pPr>
              <w:spacing w:before="60" w:after="60"/>
            </w:pPr>
            <w:r>
              <w:rPr>
                <w:sz w:val="18"/>
              </w:rPr>
              <w:t>ORP (mV)</w:t>
            </w:r>
          </w:p>
        </w:tc>
        <w:tc>
          <w:tcPr>
            <w:tcW w:type="dxa" w:w="1247"/>
            <w:shd w:val="clear" w:color="auto" w:fill="F2F8F7"/>
          </w:tcPr>
          <w:p>
            <w:pPr>
              <w:spacing w:before="60" w:after="60"/>
            </w:pPr>
            <w:r>
              <w:rPr>
                <w:sz w:val="18"/>
              </w:rPr>
              <w:t>ACM Skid</w:t>
            </w:r>
          </w:p>
        </w:tc>
        <w:tc>
          <w:tcPr>
            <w:tcW w:type="dxa" w:w="850"/>
            <w:shd w:val="clear" w:color="auto" w:fill="F2F8F7"/>
          </w:tcPr>
          <w:p>
            <w:pPr>
              <w:spacing w:before="60" w:after="60"/>
            </w:pPr>
            <w:r>
              <w:rPr>
                <w:sz w:val="18"/>
              </w:rPr>
              <w:t>525.698</w:t>
            </w:r>
          </w:p>
        </w:tc>
        <w:tc>
          <w:tcPr>
            <w:tcW w:type="dxa" w:w="850"/>
            <w:shd w:val="clear" w:color="auto" w:fill="F2F8F7"/>
          </w:tcPr>
          <w:p>
            <w:pPr>
              <w:spacing w:before="60" w:after="60"/>
            </w:pPr>
            <w:r>
              <w:rPr>
                <w:sz w:val="18"/>
              </w:rPr>
              <w:t>106.369</w:t>
            </w:r>
          </w:p>
        </w:tc>
        <w:tc>
          <w:tcPr>
            <w:tcW w:type="dxa" w:w="794"/>
            <w:shd w:val="clear" w:color="auto" w:fill="F2F8F7"/>
          </w:tcPr>
          <w:p>
            <w:pPr>
              <w:spacing w:before="60" w:after="60"/>
            </w:pPr>
            <w:r>
              <w:rPr>
                <w:sz w:val="18"/>
              </w:rPr>
              <w:t>59.013</w:t>
            </w:r>
          </w:p>
        </w:tc>
        <w:tc>
          <w:tcPr>
            <w:tcW w:type="dxa" w:w="794"/>
            <w:shd w:val="clear" w:color="auto" w:fill="F2F8F7"/>
          </w:tcPr>
          <w:p>
            <w:pPr>
              <w:spacing w:before="60" w:after="60"/>
            </w:pPr>
            <w:r>
              <w:rPr>
                <w:sz w:val="18"/>
              </w:rPr>
              <w:t>715.000</w:t>
            </w:r>
          </w:p>
        </w:tc>
        <w:tc>
          <w:tcPr>
            <w:tcW w:type="dxa" w:w="964"/>
            <w:shd w:val="clear" w:color="auto" w:fill="F2F8F7"/>
          </w:tcPr>
          <w:p>
            <w:pPr>
              <w:spacing w:before="60" w:after="60"/>
            </w:pPr>
            <w:r>
              <w:rPr>
                <w:sz w:val="18"/>
              </w:rPr>
              <w:t>–</w:t>
            </w:r>
          </w:p>
        </w:tc>
        <w:tc>
          <w:tcPr>
            <w:tcW w:type="dxa" w:w="964"/>
            <w:shd w:val="clear" w:color="auto" w:fill="F2F8F7"/>
          </w:tcPr>
          <w:p>
            <w:pPr>
              <w:spacing w:before="60" w:after="60"/>
            </w:pPr>
            <w:r>
              <w:rPr>
                <w:sz w:val="18"/>
              </w:rPr>
              <w:t>–</w:t>
            </w:r>
          </w:p>
        </w:tc>
        <w:tc>
          <w:tcPr>
            <w:tcW w:type="dxa" w:w="1020"/>
            <w:shd w:val="clear" w:color="auto" w:fill="F2F8F7"/>
          </w:tcPr>
          <w:p>
            <w:pPr>
              <w:spacing w:before="60" w:after="60"/>
            </w:pPr>
            <w:r>
              <w:rPr>
                <w:sz w:val="18"/>
              </w:rPr>
              <w:t>–</w:t>
            </w:r>
          </w:p>
        </w:tc>
        <w:tc>
          <w:tcPr>
            <w:tcW w:type="dxa" w:w="1247"/>
            <w:shd w:val="clear" w:color="auto" w:fill="F2F8F7"/>
          </w:tcPr>
          <w:p>
            <w:pPr>
              <w:spacing w:before="60" w:after="60"/>
            </w:pPr>
            <w:r>
              <w:rPr>
                <w:sz w:val="18"/>
              </w:rPr>
              <w:t>See chart</w:t>
            </w:r>
          </w:p>
        </w:tc>
      </w:tr>
      <w:tr>
        <w:tc>
          <w:tcPr>
            <w:tcW w:type="dxa" w:w="1814"/>
            <w:shd w:val="clear" w:color="auto" w:fill="FFFFFF"/>
          </w:tcPr>
          <w:p>
            <w:pPr>
              <w:spacing w:before="60" w:after="60"/>
            </w:pPr>
            <w:r>
              <w:rPr>
                <w:sz w:val="18"/>
              </w:rPr>
              <w:t>Turbidity (NTU)</w:t>
            </w:r>
          </w:p>
        </w:tc>
        <w:tc>
          <w:tcPr>
            <w:tcW w:type="dxa" w:w="1247"/>
            <w:shd w:val="clear" w:color="auto" w:fill="FFFFFF"/>
          </w:tcPr>
          <w:p>
            <w:pPr>
              <w:spacing w:before="60" w:after="60"/>
            </w:pPr>
            <w:r>
              <w:rPr>
                <w:sz w:val="18"/>
              </w:rPr>
              <w:t>ACM Skid</w:t>
            </w:r>
          </w:p>
        </w:tc>
        <w:tc>
          <w:tcPr>
            <w:tcW w:type="dxa" w:w="850"/>
            <w:shd w:val="clear" w:color="auto" w:fill="FFFFFF"/>
          </w:tcPr>
          <w:p>
            <w:pPr>
              <w:spacing w:before="60" w:after="60"/>
            </w:pPr>
            <w:r>
              <w:rPr>
                <w:sz w:val="18"/>
              </w:rPr>
              <w:t>5.754</w:t>
            </w:r>
          </w:p>
        </w:tc>
        <w:tc>
          <w:tcPr>
            <w:tcW w:type="dxa" w:w="850"/>
            <w:shd w:val="clear" w:color="auto" w:fill="FFFFFF"/>
          </w:tcPr>
          <w:p>
            <w:pPr>
              <w:spacing w:before="60" w:after="60"/>
            </w:pPr>
            <w:r>
              <w:rPr>
                <w:sz w:val="18"/>
              </w:rPr>
              <w:t>0.592</w:t>
            </w:r>
          </w:p>
        </w:tc>
        <w:tc>
          <w:tcPr>
            <w:tcW w:type="dxa" w:w="794"/>
            <w:shd w:val="clear" w:color="auto" w:fill="FFFFFF"/>
          </w:tcPr>
          <w:p>
            <w:pPr>
              <w:spacing w:before="60" w:after="60"/>
            </w:pPr>
            <w:r>
              <w:rPr>
                <w:sz w:val="18"/>
              </w:rPr>
              <w:t>3.150</w:t>
            </w:r>
          </w:p>
        </w:tc>
        <w:tc>
          <w:tcPr>
            <w:tcW w:type="dxa" w:w="794"/>
            <w:shd w:val="clear" w:color="auto" w:fill="FFFFFF"/>
          </w:tcPr>
          <w:p>
            <w:pPr>
              <w:spacing w:before="60" w:after="60"/>
            </w:pPr>
            <w:r>
              <w:rPr>
                <w:sz w:val="18"/>
              </w:rPr>
              <w:t>6.947</w:t>
            </w:r>
          </w:p>
        </w:tc>
        <w:tc>
          <w:tcPr>
            <w:tcW w:type="dxa" w:w="964"/>
            <w:shd w:val="clear" w:color="auto" w:fill="FFFFFF"/>
          </w:tcPr>
          <w:p>
            <w:pPr>
              <w:spacing w:before="60" w:after="60"/>
            </w:pPr>
            <w:r>
              <w:rPr>
                <w:sz w:val="18"/>
              </w:rPr>
              <w:t>–</w:t>
            </w:r>
          </w:p>
        </w:tc>
        <w:tc>
          <w:tcPr>
            <w:tcW w:type="dxa" w:w="964"/>
            <w:shd w:val="clear" w:color="auto" w:fill="FFFFFF"/>
          </w:tcPr>
          <w:p>
            <w:pPr>
              <w:spacing w:before="60" w:after="60"/>
            </w:pPr>
            <w:r>
              <w:rPr>
                <w:sz w:val="18"/>
              </w:rPr>
              <w:t>75.0</w:t>
            </w:r>
          </w:p>
        </w:tc>
        <w:tc>
          <w:tcPr>
            <w:tcW w:type="dxa" w:w="1020"/>
            <w:shd w:val="clear" w:color="auto" w:fill="FFFFFF"/>
          </w:tcPr>
          <w:p>
            <w:pPr>
              <w:spacing w:before="60" w:after="60"/>
            </w:pPr>
            <w:r>
              <w:rPr>
                <w:sz w:val="18"/>
              </w:rPr>
              <w:t>–</w:t>
            </w:r>
          </w:p>
        </w:tc>
        <w:tc>
          <w:tcPr>
            <w:tcW w:type="dxa" w:w="1247"/>
            <w:shd w:val="clear" w:color="auto" w:fill="FFFFFF"/>
          </w:tcPr>
          <w:p>
            <w:pPr>
              <w:spacing w:before="60" w:after="60"/>
            </w:pPr>
            <w:r>
              <w:rPr>
                <w:sz w:val="18"/>
              </w:rPr>
              <w:t>ℹ Info</w:t>
            </w:r>
          </w:p>
        </w:tc>
      </w:tr>
      <w:tr>
        <w:tc>
          <w:tcPr>
            <w:tcW w:type="dxa" w:w="1814"/>
            <w:shd w:val="clear" w:color="auto" w:fill="F2F8F7"/>
          </w:tcPr>
          <w:p>
            <w:pPr>
              <w:spacing w:before="60" w:after="60"/>
            </w:pPr>
            <w:r>
              <w:rPr>
                <w:sz w:val="18"/>
              </w:rPr>
              <w:t>Cell Fouling (%)</w:t>
            </w:r>
          </w:p>
        </w:tc>
        <w:tc>
          <w:tcPr>
            <w:tcW w:type="dxa" w:w="1247"/>
            <w:shd w:val="clear" w:color="auto" w:fill="F2F8F7"/>
          </w:tcPr>
          <w:p>
            <w:pPr>
              <w:spacing w:before="60" w:after="60"/>
            </w:pPr>
            <w:r>
              <w:rPr>
                <w:sz w:val="18"/>
              </w:rPr>
              <w:t>ACM Skid</w:t>
            </w:r>
          </w:p>
        </w:tc>
        <w:tc>
          <w:tcPr>
            <w:tcW w:type="dxa" w:w="850"/>
            <w:shd w:val="clear" w:color="auto" w:fill="F2F8F7"/>
          </w:tcPr>
          <w:p>
            <w:pPr>
              <w:spacing w:before="60" w:after="60"/>
            </w:pPr>
            <w:r>
              <w:rPr>
                <w:sz w:val="18"/>
              </w:rPr>
              <w:t>20.467</w:t>
            </w:r>
          </w:p>
        </w:tc>
        <w:tc>
          <w:tcPr>
            <w:tcW w:type="dxa" w:w="850"/>
            <w:shd w:val="clear" w:color="auto" w:fill="F2F8F7"/>
          </w:tcPr>
          <w:p>
            <w:pPr>
              <w:spacing w:before="60" w:after="60"/>
            </w:pPr>
            <w:r>
              <w:rPr>
                <w:sz w:val="18"/>
              </w:rPr>
              <w:t>2.009</w:t>
            </w:r>
          </w:p>
        </w:tc>
        <w:tc>
          <w:tcPr>
            <w:tcW w:type="dxa" w:w="794"/>
            <w:shd w:val="clear" w:color="auto" w:fill="F2F8F7"/>
          </w:tcPr>
          <w:p>
            <w:pPr>
              <w:spacing w:before="60" w:after="60"/>
            </w:pPr>
            <w:r>
              <w:rPr>
                <w:sz w:val="18"/>
              </w:rPr>
              <w:t>17.086</w:t>
            </w:r>
          </w:p>
        </w:tc>
        <w:tc>
          <w:tcPr>
            <w:tcW w:type="dxa" w:w="794"/>
            <w:shd w:val="clear" w:color="auto" w:fill="F2F8F7"/>
          </w:tcPr>
          <w:p>
            <w:pPr>
              <w:spacing w:before="60" w:after="60"/>
            </w:pPr>
            <w:r>
              <w:rPr>
                <w:sz w:val="18"/>
              </w:rPr>
              <w:t>25.674</w:t>
            </w:r>
          </w:p>
        </w:tc>
        <w:tc>
          <w:tcPr>
            <w:tcW w:type="dxa" w:w="964"/>
            <w:shd w:val="clear" w:color="auto" w:fill="F2F8F7"/>
          </w:tcPr>
          <w:p>
            <w:pPr>
              <w:spacing w:before="60" w:after="60"/>
            </w:pPr>
            <w:r>
              <w:rPr>
                <w:sz w:val="18"/>
              </w:rPr>
              <w:t>–</w:t>
            </w:r>
          </w:p>
        </w:tc>
        <w:tc>
          <w:tcPr>
            <w:tcW w:type="dxa" w:w="964"/>
            <w:shd w:val="clear" w:color="auto" w:fill="F2F8F7"/>
          </w:tcPr>
          <w:p>
            <w:pPr>
              <w:spacing w:before="60" w:after="60"/>
            </w:pPr>
            <w:r>
              <w:rPr>
                <w:sz w:val="18"/>
              </w:rPr>
              <w:t>30.0</w:t>
            </w:r>
          </w:p>
        </w:tc>
        <w:tc>
          <w:tcPr>
            <w:tcW w:type="dxa" w:w="1020"/>
            <w:shd w:val="clear" w:color="auto" w:fill="F2F8F7"/>
          </w:tcPr>
          <w:p>
            <w:pPr>
              <w:spacing w:before="60" w:after="60"/>
            </w:pPr>
            <w:r>
              <w:rPr>
                <w:sz w:val="18"/>
              </w:rPr>
              <w:t>–</w:t>
            </w:r>
          </w:p>
        </w:tc>
        <w:tc>
          <w:tcPr>
            <w:tcW w:type="dxa" w:w="1247"/>
            <w:shd w:val="clear" w:color="auto" w:fill="F2F8F7"/>
          </w:tcPr>
          <w:p>
            <w:pPr>
              <w:spacing w:before="60" w:after="60"/>
            </w:pPr>
            <w:r>
              <w:rPr>
                <w:sz w:val="18"/>
              </w:rPr>
              <w:t>ℹ Info</w:t>
            </w:r>
          </w:p>
        </w:tc>
      </w:tr>
      <w:tr>
        <w:tc>
          <w:tcPr>
            <w:tcW w:type="dxa" w:w="1814"/>
            <w:shd w:val="clear" w:color="auto" w:fill="FFFFFF"/>
          </w:tcPr>
          <w:p>
            <w:pPr>
              <w:spacing w:before="60" w:after="60"/>
            </w:pPr>
            <w:r>
              <w:rPr>
                <w:sz w:val="18"/>
              </w:rPr>
              <w:t>FRC</w:t>
            </w:r>
          </w:p>
        </w:tc>
        <w:tc>
          <w:tcPr>
            <w:tcW w:type="dxa" w:w="1247"/>
            <w:shd w:val="clear" w:color="auto" w:fill="FFFFFF"/>
          </w:tcPr>
          <w:p>
            <w:pPr>
              <w:spacing w:before="60" w:after="60"/>
            </w:pPr>
            <w:r>
              <w:rPr>
                <w:sz w:val="18"/>
              </w:rPr>
              <w:t>Field Data</w:t>
            </w:r>
          </w:p>
        </w:tc>
        <w:tc>
          <w:tcPr>
            <w:tcW w:type="dxa" w:w="850"/>
            <w:shd w:val="clear" w:color="auto" w:fill="FFFFFF"/>
          </w:tcPr>
          <w:p>
            <w:pPr>
              <w:spacing w:before="60" w:after="60"/>
            </w:pPr>
            <w:r>
              <w:rPr>
                <w:sz w:val="18"/>
              </w:rPr>
              <w:t>Not avail.</w:t>
            </w:r>
          </w:p>
        </w:tc>
        <w:tc>
          <w:tcPr>
            <w:tcW w:type="dxa" w:w="850"/>
            <w:shd w:val="clear" w:color="auto" w:fill="FFFFFF"/>
          </w:tcPr>
          <w:p>
            <w:pPr>
              <w:spacing w:before="60" w:after="60"/>
            </w:pPr>
            <w:r>
              <w:rPr>
                <w:sz w:val="18"/>
              </w:rPr>
              <w:t>–</w:t>
            </w:r>
          </w:p>
        </w:tc>
        <w:tc>
          <w:tcPr>
            <w:tcW w:type="dxa" w:w="794"/>
            <w:shd w:val="clear" w:color="auto" w:fill="FFFFFF"/>
          </w:tcPr>
          <w:p>
            <w:pPr>
              <w:spacing w:before="60" w:after="60"/>
            </w:pPr>
            <w:r>
              <w:rPr>
                <w:sz w:val="18"/>
              </w:rPr>
              <w:t>–</w:t>
            </w:r>
          </w:p>
        </w:tc>
        <w:tc>
          <w:tcPr>
            <w:tcW w:type="dxa" w:w="794"/>
            <w:shd w:val="clear" w:color="auto" w:fill="FFFFFF"/>
          </w:tcPr>
          <w:p>
            <w:pPr>
              <w:spacing w:before="60" w:after="60"/>
            </w:pPr>
            <w:r>
              <w:rPr>
                <w:sz w:val="18"/>
              </w:rPr>
              <w:t>–</w:t>
            </w:r>
          </w:p>
        </w:tc>
        <w:tc>
          <w:tcPr>
            <w:tcW w:type="dxa" w:w="964"/>
            <w:shd w:val="clear" w:color="auto" w:fill="FFFFFF"/>
          </w:tcPr>
          <w:p>
            <w:pPr>
              <w:spacing w:before="60" w:after="60"/>
            </w:pPr>
            <w:r>
              <w:rPr>
                <w:sz w:val="18"/>
              </w:rPr>
              <w:t>–</w:t>
            </w:r>
          </w:p>
        </w:tc>
        <w:tc>
          <w:tcPr>
            <w:tcW w:type="dxa" w:w="964"/>
            <w:shd w:val="clear" w:color="auto" w:fill="FFFFFF"/>
          </w:tcPr>
          <w:p>
            <w:pPr>
              <w:spacing w:before="60" w:after="60"/>
            </w:pPr>
            <w:r>
              <w:rPr>
                <w:sz w:val="18"/>
              </w:rPr>
              <w:t>–</w:t>
            </w:r>
          </w:p>
        </w:tc>
        <w:tc>
          <w:tcPr>
            <w:tcW w:type="dxa" w:w="1020"/>
            <w:shd w:val="clear" w:color="auto" w:fill="FFFFFF"/>
          </w:tcPr>
          <w:p>
            <w:pPr>
              <w:spacing w:before="60" w:after="60"/>
            </w:pPr>
            <w:r>
              <w:rPr>
                <w:sz w:val="18"/>
              </w:rPr>
              <w:t>–</w:t>
            </w:r>
          </w:p>
        </w:tc>
        <w:tc>
          <w:tcPr>
            <w:tcW w:type="dxa" w:w="1247"/>
            <w:shd w:val="clear" w:color="auto" w:fill="FFFFFF"/>
          </w:tcPr>
          <w:p>
            <w:pPr>
              <w:spacing w:before="60" w:after="60"/>
            </w:pPr>
            <w:r>
              <w:rPr>
                <w:sz w:val="18"/>
              </w:rPr>
              <w:t>⚠ Check</w:t>
            </w:r>
          </w:p>
        </w:tc>
      </w:tr>
    </w:tbl>
    <w:p/>
    <w:p>
      <w:r>
        <w:br w:type="page"/>
      </w:r>
    </w:p>
    <w:p>
      <w:pPr>
        <w:pBdr>
          <w:bottom w:val="single" w:sz="8" w:space="4" w:color="00857C"/>
        </w:pBdr>
        <w:spacing w:before="280" w:after="80"/>
      </w:pPr>
      <w:r>
        <w:rPr>
          <w:b/>
          <w:color w:val="00857C"/>
          <w:sz w:val="32"/>
        </w:rPr>
        <w:t>Charts and Comments</w:t>
      </w:r>
    </w:p>
    <w:p>
      <w:pPr>
        <w:spacing w:before="200" w:after="60"/>
      </w:pPr>
      <w:r>
        <w:rPr>
          <w:b/>
          <w:color w:val="005F58"/>
          <w:sz w:val="26"/>
        </w:rPr>
        <w:t>Corrosion Rate</w:t>
      </w:r>
    </w:p>
    <w:p>
      <w:pPr>
        <w:jc w:val="center"/>
      </w:pPr>
      <w:r>
        <w:drawing>
          <wp:inline xmlns:a="http://schemas.openxmlformats.org/drawingml/2006/main" xmlns:pic="http://schemas.openxmlformats.org/drawingml/2006/picture">
            <wp:extent cx="5486400" cy="2582656"/>
            <wp:docPr id="1" name="Picture 1"/>
            <wp:cNvGraphicFramePr>
              <a:graphicFrameLocks noChangeAspect="1"/>
            </wp:cNvGraphicFramePr>
            <a:graphic>
              <a:graphicData uri="http://schemas.openxmlformats.org/drawingml/2006/picture">
                <pic:pic>
                  <pic:nvPicPr>
                    <pic:cNvPr id="0" name="flowserve_us_raleigh_nc_us_august_2026_corrosion.png"/>
                    <pic:cNvPicPr/>
                  </pic:nvPicPr>
                  <pic:blipFill>
                    <a:blip r:embed="rId11"/>
                    <a:stretch>
                      <a:fillRect/>
                    </a:stretch>
                  </pic:blipFill>
                  <pic:spPr>
                    <a:xfrm>
                      <a:off x="0" y="0"/>
                      <a:ext cx="5486400" cy="2582656"/>
                    </a:xfrm>
                    <a:prstGeom prst="rect"/>
                  </pic:spPr>
                </pic:pic>
              </a:graphicData>
            </a:graphic>
          </wp:inline>
        </w:drawing>
      </w:r>
    </w:p>
    <w:p>
      <w:pPr>
        <w:spacing w:after="120"/>
        <w:jc w:val="center"/>
      </w:pPr>
      <w:r>
        <w:rPr>
          <w:i/>
          <w:color w:val="444444"/>
          <w:sz w:val="17"/>
        </w:rPr>
        <w:t>Figure 1: Corrosion Rate — August 2026</w:t>
      </w:r>
    </w:p>
    <w:p>
      <w:pPr>
        <w:spacing w:before="40" w:after="200"/>
      </w:pPr>
      <w:r>
        <w:rPr>
          <w:b/>
          <w:i/>
          <w:color w:val="333333"/>
          <w:sz w:val="19"/>
        </w:rPr>
        <w:t xml:space="preserve">Comment: </w:t>
      </w:r>
      <w:r>
        <w:rPr>
          <w:i/>
          <w:color w:val="333333"/>
          <w:sz w:val="19"/>
        </w:rPr>
        <w:t>Pattern: corrosion control is increasing, but remains good against the target.</w:t>
      </w:r>
      <w:r>
        <w:br/>
      </w:r>
      <w:r>
        <w:rPr>
          <w:i/>
          <w:color w:val="333333"/>
          <w:sz w:val="19"/>
        </w:rPr>
        <w:t>Mild steel corrosion increased across the month, while copper corrosion decreased across the month.</w:t>
      </w:r>
      <w:r>
        <w:br/>
      </w:r>
      <w:r>
        <w:rPr>
          <w:i/>
          <w:color w:val="333333"/>
          <w:sz w:val="19"/>
        </w:rPr>
        <w:t>MS was within the 3.0 MPY target, and Cu was within the 0.5 MPY target.</w:t>
      </w:r>
      <w:r>
        <w:br/>
      </w:r>
      <w:r>
        <w:rPr>
          <w:i/>
          <w:color w:val="333333"/>
          <w:sz w:val="19"/>
        </w:rPr>
        <w:t>Likely reason: corrosion is still protected, but increasing movement should be checked against product and ORP trends.</w:t>
      </w:r>
    </w:p>
    <w:p>
      <w:pPr>
        <w:spacing w:before="200" w:after="60"/>
      </w:pPr>
      <w:r>
        <w:rPr>
          <w:b/>
          <w:color w:val="005F58"/>
          <w:sz w:val="26"/>
        </w:rPr>
        <w:t>Traced Product Control Trend</w:t>
      </w:r>
    </w:p>
    <w:p>
      <w:pPr>
        <w:jc w:val="center"/>
      </w:pPr>
      <w:r>
        <w:drawing>
          <wp:inline xmlns:a="http://schemas.openxmlformats.org/drawingml/2006/main" xmlns:pic="http://schemas.openxmlformats.org/drawingml/2006/picture">
            <wp:extent cx="5486400" cy="2578283"/>
            <wp:docPr id="2" name="Picture 2"/>
            <wp:cNvGraphicFramePr>
              <a:graphicFrameLocks noChangeAspect="1"/>
            </wp:cNvGraphicFramePr>
            <a:graphic>
              <a:graphicData uri="http://schemas.openxmlformats.org/drawingml/2006/picture">
                <pic:pic>
                  <pic:nvPicPr>
                    <pic:cNvPr id="0" name="flowserve_us_raleigh_nc_us_august_2026_traced_product.png"/>
                    <pic:cNvPicPr/>
                  </pic:nvPicPr>
                  <pic:blipFill>
                    <a:blip r:embed="rId12"/>
                    <a:stretch>
                      <a:fillRect/>
                    </a:stretch>
                  </pic:blipFill>
                  <pic:spPr>
                    <a:xfrm>
                      <a:off x="0" y="0"/>
                      <a:ext cx="5486400" cy="2578283"/>
                    </a:xfrm>
                    <a:prstGeom prst="rect"/>
                  </pic:spPr>
                </pic:pic>
              </a:graphicData>
            </a:graphic>
          </wp:inline>
        </w:drawing>
      </w:r>
    </w:p>
    <w:p>
      <w:pPr>
        <w:spacing w:after="120"/>
        <w:jc w:val="center"/>
      </w:pPr>
      <w:r>
        <w:rPr>
          <w:i/>
          <w:color w:val="444444"/>
          <w:sz w:val="17"/>
        </w:rPr>
        <w:t>Figure 2: Traced Product — August 2026</w:t>
      </w:r>
    </w:p>
    <w:p>
      <w:pPr>
        <w:spacing w:before="40" w:after="200"/>
      </w:pPr>
      <w:r>
        <w:rPr>
          <w:b/>
          <w:i/>
          <w:color w:val="333333"/>
          <w:sz w:val="19"/>
        </w:rPr>
        <w:t xml:space="preserve">Comment: </w:t>
      </w:r>
      <w:r>
        <w:rPr>
          <w:i/>
          <w:color w:val="333333"/>
          <w:sz w:val="19"/>
        </w:rPr>
        <w:t>Pattern: Traced Product is still not maintained at the end of the month.</w:t>
      </w:r>
      <w:r>
        <w:br/>
      </w:r>
      <w:r>
        <w:rPr>
          <w:i/>
          <w:color w:val="333333"/>
          <w:sz w:val="19"/>
        </w:rPr>
        <w:t>The trend moved from about 89.6 ppm at the start to 90.9 ppm at the end.</w:t>
      </w:r>
      <w:r>
        <w:br/>
      </w:r>
      <w:r>
        <w:rPr>
          <w:i/>
          <w:color w:val="333333"/>
          <w:sz w:val="19"/>
        </w:rPr>
        <w:t>The Traced Product average was above the configured range. The monthly in-range performance was 29.9%.</w:t>
      </w:r>
      <w:r>
        <w:br/>
      </w:r>
      <w:r>
        <w:rPr>
          <w:i/>
          <w:color w:val="333333"/>
          <w:sz w:val="19"/>
        </w:rPr>
        <w:t>Likely reason: conductivity was not maintained, so the Traced Product variation should be tied to conductivity control before assigning another cause.</w:t>
      </w:r>
    </w:p>
    <w:p>
      <w:pPr>
        <w:spacing w:before="200" w:after="60"/>
      </w:pPr>
      <w:r>
        <w:rPr>
          <w:b/>
          <w:color w:val="005F58"/>
          <w:sz w:val="26"/>
        </w:rPr>
        <w:t>ORP vs Copper Corrosion Rate</w:t>
      </w:r>
    </w:p>
    <w:p>
      <w:pPr>
        <w:jc w:val="center"/>
      </w:pPr>
      <w:r>
        <w:drawing>
          <wp:inline xmlns:a="http://schemas.openxmlformats.org/drawingml/2006/main" xmlns:pic="http://schemas.openxmlformats.org/drawingml/2006/picture">
            <wp:extent cx="5486400" cy="2584849"/>
            <wp:docPr id="3" name="Picture 3"/>
            <wp:cNvGraphicFramePr>
              <a:graphicFrameLocks noChangeAspect="1"/>
            </wp:cNvGraphicFramePr>
            <a:graphic>
              <a:graphicData uri="http://schemas.openxmlformats.org/drawingml/2006/picture">
                <pic:pic>
                  <pic:nvPicPr>
                    <pic:cNvPr id="0" name="flowserve_us_raleigh_nc_us_august_2026_orp_corrosion.png"/>
                    <pic:cNvPicPr/>
                  </pic:nvPicPr>
                  <pic:blipFill>
                    <a:blip r:embed="rId13"/>
                    <a:stretch>
                      <a:fillRect/>
                    </a:stretch>
                  </pic:blipFill>
                  <pic:spPr>
                    <a:xfrm>
                      <a:off x="0" y="0"/>
                      <a:ext cx="5486400" cy="2584849"/>
                    </a:xfrm>
                    <a:prstGeom prst="rect"/>
                  </pic:spPr>
                </pic:pic>
              </a:graphicData>
            </a:graphic>
          </wp:inline>
        </w:drawing>
      </w:r>
    </w:p>
    <w:p>
      <w:pPr>
        <w:spacing w:after="120"/>
        <w:jc w:val="center"/>
      </w:pPr>
      <w:r>
        <w:rPr>
          <w:i/>
          <w:color w:val="444444"/>
          <w:sz w:val="17"/>
        </w:rPr>
        <w:t>Figure 3: ORP vs Copper Corrosion Rate — August 2026</w:t>
      </w:r>
    </w:p>
    <w:p>
      <w:pPr>
        <w:spacing w:before="40" w:after="200"/>
      </w:pPr>
      <w:r>
        <w:rPr>
          <w:b/>
          <w:i/>
          <w:color w:val="333333"/>
          <w:sz w:val="19"/>
        </w:rPr>
        <w:t xml:space="preserve">Comment: </w:t>
      </w:r>
      <w:r>
        <w:rPr>
          <w:i/>
          <w:color w:val="333333"/>
          <w:sz w:val="19"/>
        </w:rPr>
        <w:t>Pattern: ORP response is decreasing across the month.</w:t>
      </w:r>
      <w:r>
        <w:br/>
      </w:r>
      <w:r>
        <w:rPr>
          <w:i/>
          <w:color w:val="333333"/>
          <w:sz w:val="19"/>
        </w:rPr>
        <w:t>ORP did not show a strong spike response pattern during the month without relying on absolute ORP values.</w:t>
      </w:r>
      <w:r>
        <w:br/>
      </w:r>
      <w:r>
        <w:rPr>
          <w:i/>
          <w:color w:val="333333"/>
          <w:sz w:val="19"/>
        </w:rPr>
        <w:t>Copper corrosion decreased across the month while the ORP pattern changed.</w:t>
      </w:r>
      <w:r>
        <w:br/>
      </w:r>
      <w:r>
        <w:rPr>
          <w:i/>
          <w:color w:val="333333"/>
          <w:sz w:val="19"/>
        </w:rPr>
        <w:t>Likely reason: biocide feed timing, relay operation, oxidizer inventory, or field FRC residual should be checked.</w:t>
      </w:r>
    </w:p>
    <w:p>
      <w:pPr>
        <w:spacing w:before="200" w:after="60"/>
      </w:pPr>
      <w:r>
        <w:rPr>
          <w:b/>
          <w:color w:val="005F58"/>
          <w:sz w:val="26"/>
        </w:rPr>
        <w:t>Oxidizing Biocide Pump Relay vs Copper Corrosion</w:t>
      </w:r>
    </w:p>
    <w:p>
      <w:pPr>
        <w:jc w:val="center"/>
      </w:pPr>
      <w:r>
        <w:drawing>
          <wp:inline xmlns:a="http://schemas.openxmlformats.org/drawingml/2006/main" xmlns:pic="http://schemas.openxmlformats.org/drawingml/2006/picture">
            <wp:extent cx="5486400" cy="2582656"/>
            <wp:docPr id="4" name="Picture 4"/>
            <wp:cNvGraphicFramePr>
              <a:graphicFrameLocks noChangeAspect="1"/>
            </wp:cNvGraphicFramePr>
            <a:graphic>
              <a:graphicData uri="http://schemas.openxmlformats.org/drawingml/2006/picture">
                <pic:pic>
                  <pic:nvPicPr>
                    <pic:cNvPr id="0" name="flowserve_us_raleigh_nc_us_august_2026_biocide_corrosion.png"/>
                    <pic:cNvPicPr/>
                  </pic:nvPicPr>
                  <pic:blipFill>
                    <a:blip r:embed="rId14"/>
                    <a:stretch>
                      <a:fillRect/>
                    </a:stretch>
                  </pic:blipFill>
                  <pic:spPr>
                    <a:xfrm>
                      <a:off x="0" y="0"/>
                      <a:ext cx="5486400" cy="2582656"/>
                    </a:xfrm>
                    <a:prstGeom prst="rect"/>
                  </pic:spPr>
                </pic:pic>
              </a:graphicData>
            </a:graphic>
          </wp:inline>
        </w:drawing>
      </w:r>
    </w:p>
    <w:p>
      <w:pPr>
        <w:spacing w:after="120"/>
        <w:jc w:val="center"/>
      </w:pPr>
      <w:r>
        <w:rPr>
          <w:i/>
          <w:color w:val="444444"/>
          <w:sz w:val="17"/>
        </w:rPr>
        <w:t>Figure 4: Oxidizing Biocide Pump Relay vs Copper Corrosion — August 2026</w:t>
      </w:r>
    </w:p>
    <w:p>
      <w:pPr>
        <w:spacing w:before="40" w:after="200"/>
      </w:pPr>
      <w:r>
        <w:rPr>
          <w:b/>
          <w:i/>
          <w:color w:val="333333"/>
          <w:sz w:val="19"/>
        </w:rPr>
        <w:t xml:space="preserve">Comment: </w:t>
      </w:r>
      <w:r>
        <w:rPr>
          <w:i/>
          <w:color w:val="333333"/>
          <w:sz w:val="19"/>
        </w:rPr>
        <w:t>Pattern: biocide feed versus copper corrosion is decreasing, but remains good against the target.</w:t>
      </w:r>
      <w:r>
        <w:br/>
      </w:r>
      <w:r>
        <w:rPr>
          <w:i/>
          <w:color w:val="333333"/>
          <w:sz w:val="19"/>
        </w:rPr>
        <w:t>Biocide relay activity was present in the monthly trend.</w:t>
      </w:r>
      <w:r>
        <w:br/>
      </w:r>
      <w:r>
        <w:rPr>
          <w:i/>
          <w:color w:val="333333"/>
          <w:sz w:val="19"/>
        </w:rPr>
        <w:t>Relay activity increased across the month when the month is split into early and late periods.</w:t>
      </w:r>
      <w:r>
        <w:br/>
      </w:r>
      <w:r>
        <w:rPr>
          <w:i/>
          <w:color w:val="333333"/>
          <w:sz w:val="19"/>
        </w:rPr>
        <w:t>Likely reason: relay feed timing is adequate and copper corrosion remains protected.</w:t>
      </w:r>
    </w:p>
    <w:p>
      <w:pPr>
        <w:spacing w:before="200" w:after="60"/>
      </w:pPr>
      <w:r>
        <w:rPr>
          <w:b/>
          <w:color w:val="005F58"/>
          <w:sz w:val="26"/>
        </w:rPr>
        <w:t>Electrode Conductivity</w:t>
      </w:r>
    </w:p>
    <w:p>
      <w:pPr>
        <w:jc w:val="center"/>
      </w:pPr>
      <w:r>
        <w:drawing>
          <wp:inline xmlns:a="http://schemas.openxmlformats.org/drawingml/2006/main" xmlns:pic="http://schemas.openxmlformats.org/drawingml/2006/picture">
            <wp:extent cx="5486400" cy="2578283"/>
            <wp:docPr id="5" name="Picture 5"/>
            <wp:cNvGraphicFramePr>
              <a:graphicFrameLocks noChangeAspect="1"/>
            </wp:cNvGraphicFramePr>
            <a:graphic>
              <a:graphicData uri="http://schemas.openxmlformats.org/drawingml/2006/picture">
                <pic:pic>
                  <pic:nvPicPr>
                    <pic:cNvPr id="0" name="flowserve_us_raleigh_nc_us_august_2026_conductivity.png"/>
                    <pic:cNvPicPr/>
                  </pic:nvPicPr>
                  <pic:blipFill>
                    <a:blip r:embed="rId15"/>
                    <a:stretch>
                      <a:fillRect/>
                    </a:stretch>
                  </pic:blipFill>
                  <pic:spPr>
                    <a:xfrm>
                      <a:off x="0" y="0"/>
                      <a:ext cx="5486400" cy="2578283"/>
                    </a:xfrm>
                    <a:prstGeom prst="rect"/>
                  </pic:spPr>
                </pic:pic>
              </a:graphicData>
            </a:graphic>
          </wp:inline>
        </w:drawing>
      </w:r>
    </w:p>
    <w:p>
      <w:pPr>
        <w:spacing w:after="120"/>
        <w:jc w:val="center"/>
      </w:pPr>
      <w:r>
        <w:rPr>
          <w:i/>
          <w:color w:val="444444"/>
          <w:sz w:val="17"/>
        </w:rPr>
        <w:t>Figure 5: Electrode Conductivity — August 2026</w:t>
      </w:r>
    </w:p>
    <w:p>
      <w:pPr>
        <w:spacing w:before="40" w:after="200"/>
      </w:pPr>
      <w:r>
        <w:rPr>
          <w:b/>
          <w:i/>
          <w:color w:val="333333"/>
          <w:sz w:val="19"/>
        </w:rPr>
        <w:t xml:space="preserve">Comment: </w:t>
      </w:r>
      <w:r>
        <w:rPr>
          <w:i/>
          <w:color w:val="333333"/>
          <w:sz w:val="19"/>
        </w:rPr>
        <w:t>Pattern: conductivity is stable and needs attention against the target.</w:t>
      </w:r>
      <w:r>
        <w:br/>
      </w:r>
      <w:r>
        <w:rPr>
          <w:i/>
          <w:color w:val="333333"/>
          <w:sz w:val="19"/>
        </w:rPr>
        <w:t>The trend moved from about 889.4 µS/cm at the start to 893.9 µS/cm at the end.</w:t>
      </w:r>
      <w:r>
        <w:br/>
      </w:r>
      <w:r>
        <w:rPr>
          <w:i/>
          <w:color w:val="333333"/>
          <w:sz w:val="19"/>
        </w:rPr>
        <w:t>The conductivity average was below the configured range. The monthly in-range performance was 13.2%.</w:t>
      </w:r>
      <w:r>
        <w:br/>
      </w:r>
      <w:r>
        <w:rPr>
          <w:i/>
          <w:color w:val="333333"/>
          <w:sz w:val="19"/>
        </w:rPr>
        <w:t>Likely reason: dilution, water loss, excess blowdown, or makeup changes are keeping conductivity low.</w:t>
      </w:r>
    </w:p>
    <w:p>
      <w:r>
        <w:br w:type="page"/>
      </w:r>
    </w:p>
    <w:p>
      <w:pPr>
        <w:pBdr>
          <w:bottom w:val="single" w:sz="8" w:space="4" w:color="00857C"/>
        </w:pBdr>
        <w:spacing w:before="280" w:after="80"/>
      </w:pPr>
      <w:r>
        <w:rPr>
          <w:b/>
          <w:color w:val="00857C"/>
          <w:sz w:val="32"/>
        </w:rPr>
        <w:t>Closing Summary</w:t>
      </w:r>
    </w:p>
    <w:p>
      <w:pPr>
        <w:spacing w:before="80" w:after="120"/>
        <w:jc w:val="left"/>
      </w:pPr>
      <w:r>
        <w:rPr>
          <w:b w:val="0"/>
          <w:i w:val="0"/>
          <w:sz w:val="20"/>
        </w:rPr>
        <w:t>Overall August performance for Flowserve showed Excellent corrosion control and Acceptable microbial control, while water efficiency and Traced Product consistency need follow-up. The primary action is to investigate low conductivity and possible dilution, excess blowdown, makeup change, or water loss, then confirm product residual response after conductivity control is stabilized.</w:t>
      </w:r>
    </w:p>
    <w:sectPr w:rsidR="00FC693F" w:rsidRPr="0006063C" w:rsidSect="00034616">
      <w:headerReference w:type="default" r:id="rId9"/>
      <w:footerReference w:type="default" r:id="rId10"/>
      <w:pgSz w:w="12240" w:h="15840"/>
      <w:pgMar w:top="1077" w:right="1077" w:bottom="107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44444"/>
        <w:sz w:val="16"/>
      </w:rPr>
      <w:t>Buckman Digital Water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00857C"/>
      </w:pBdr>
    </w:pPr>
    <w:r>
      <w:rPr>
        <w:color w:val="444444"/>
        <w:sz w:val="16"/>
      </w:rPr>
      <w:t>Buckman  |  Flowserve US Raleigh NC (US)  |  August 2026 Cooling Water Performance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