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Flowserve US Raleigh NC (US)</w:t>
      </w:r>
    </w:p>
    <w:p>
      <w:pPr>
        <w:spacing w:before="60" w:after="360"/>
        <w:jc w:val="center"/>
      </w:pPr>
      <w:r>
        <w:rPr>
          <w:b w:val="0"/>
          <w:i w:val="0"/>
          <w:color w:val="444444"/>
          <w:sz w:val="20"/>
        </w:rPr>
        <w:t>Reporting Month: August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Flowserve US Raleigh NC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84253F5EE1C9</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Flowserve US Raleigh NC (US), August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08 September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During the reporting period, the system remained under good control. The mild steel and copper corrosion rates averaged 0.61 mpy and 0.02 mpy, respectively, both of which are well within the recommended limits of &lt;5 mpy and &lt;0.5 mpy.</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within the recommended range for 29.9% of the reporting month. Polymer consumption rate averaged 62.5% and increased from 60.2% at the start of the month to 65.6% at the end of the month. Conductivity was within the recommended range for 13.2% of the reporting month. End-of-month Traced Product was 7.0% higher than the setpoint, and conductivity was also not maintained, so the product trend should be treated as conductivity-related until cycles, blowdown, makeup, or dilution behavior is corrected. Conductivity was below its setpoint configuration range for most of the same period, so water loss, dilution, or blowdown/makeup behavior should be inspected during the upcoming service visit. Because polymer consumption increased by more than 5%, phosphate residual will be checked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ORP spike response of at least 50 mV was observed at least two times per week during oxidizing biocide application, indicating good microbial dosage. FRC and dip-slide will be analysed in the upcoming visit to ensure good microbial control.</w:t>
      </w:r>
    </w:p>
    <w:p>
      <w:pPr>
        <w:spacing w:before="200" w:after="60"/>
      </w:pPr>
      <w:r>
        <w:rPr>
          <w:b/>
          <w:color w:val="005F58"/>
          <w:sz w:val="26"/>
        </w:rPr>
        <w:t>Water Efficiency</w:t>
      </w:r>
    </w:p>
    <w:p>
      <w:pPr>
        <w:spacing w:before="80" w:after="120"/>
        <w:jc w:val="left"/>
      </w:pPr>
      <w:r>
        <w:rPr>
          <w:b w:val="0"/>
          <w:i w:val="0"/>
          <w:sz w:val="20"/>
        </w:rPr>
        <w:t>Makeup water conductivity is not available for this site. Actual cycles of concentration cannot be calculated. Makeup conductivity should be captured at the next service visit.</w:t>
      </w:r>
    </w:p>
    <w:p>
      <w:pPr>
        <w:spacing w:before="80" w:after="120"/>
        <w:jc w:val="left"/>
      </w:pPr>
      <w:r>
        <w:rPr>
          <w:b w:val="0"/>
          <w:i w:val="0"/>
          <w:sz w:val="20"/>
        </w:rPr>
        <w:t>Water efficiency was Critical. Conductivity averaged 891.67 uS/cm against the 930.00-970.00 uS/cm Controller Setpoint range, with only 13.2% of readings in range. Conductivity stayed below the configured range and moved slightly from about 889.4 uS/cm early to 893.9 uS/cm later in the month. Makeup conductivity was not available, so actual cycles of concentration could not be calculated; dilution, water loss, excess blowdown, or makeup changes should be reviewed.</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Product efficiency needs attention because Traced Product averaged 90.26 ppm against the 85.00 ppm setpoint and the 82.00-88.00 ppm control range, with only 29.9% of readings in range. Because conductivity was also not maintained, product-control review should first be tied to conductivity, blowdown, makeup, dilution, or water-loss behavior before changing feed settings.</w:t>
      </w:r>
    </w:p>
    <w:p>
      <w:pPr>
        <w:spacing w:before="200" w:after="60"/>
      </w:pPr>
      <w:r>
        <w:rPr>
          <w:b/>
          <w:color w:val="005F58"/>
          <w:sz w:val="26"/>
        </w:rPr>
        <w:t>Proactive System Support</w:t>
      </w:r>
    </w:p>
    <w:p>
      <w:pPr>
        <w:spacing w:before="80" w:after="120"/>
        <w:jc w:val="left"/>
      </w:pPr>
      <w:r>
        <w:rPr>
          <w:b w:val="0"/>
          <w:i w:val="0"/>
          <w:sz w:val="20"/>
        </w:rPr>
        <w:t>No service notes were recorded for the August reporting period. Recommended follow-up: Confirm inhibitor residual, inspect for deposit activity, and compare corrosion movement with ORP and product trends. Traced Product was not maintained while conductivity was also not maintained, so treat the product issue as conductivity-related and check cycles, blowdown, makeup, and dilution behavior first. Capture makeup water conductivity during the next service visit so actual cycles of concentration can be verified. Check FRC during the upcoming service visit to confirm oxidizing biocide residual. Measure dip-slide CFU during the upcoming service visit to confirm microbial control. Verify phosphate and silica residuals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0.612</w:t>
            </w:r>
          </w:p>
        </w:tc>
        <w:tc>
          <w:tcPr>
            <w:tcW w:type="dxa" w:w="850"/>
            <w:shd w:val="clear" w:color="auto" w:fill="FFFFFF"/>
          </w:tcPr>
          <w:p>
            <w:pPr>
              <w:spacing w:before="60" w:after="60"/>
            </w:pPr>
            <w:r>
              <w:rPr>
                <w:sz w:val="18"/>
              </w:rPr>
              <w:t>0.220</w:t>
            </w:r>
          </w:p>
        </w:tc>
        <w:tc>
          <w:tcPr>
            <w:tcW w:type="dxa" w:w="794"/>
            <w:shd w:val="clear" w:color="auto" w:fill="FFFFFF"/>
          </w:tcPr>
          <w:p>
            <w:pPr>
              <w:spacing w:before="60" w:after="60"/>
            </w:pPr>
            <w:r>
              <w:rPr>
                <w:sz w:val="18"/>
              </w:rPr>
              <w:t>0.249</w:t>
            </w:r>
          </w:p>
        </w:tc>
        <w:tc>
          <w:tcPr>
            <w:tcW w:type="dxa" w:w="794"/>
            <w:shd w:val="clear" w:color="auto" w:fill="FFFFFF"/>
          </w:tcPr>
          <w:p>
            <w:pPr>
              <w:spacing w:before="60" w:after="60"/>
            </w:pPr>
            <w:r>
              <w:rPr>
                <w:sz w:val="18"/>
              </w:rPr>
              <w:t>1.924</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0.020</w:t>
            </w:r>
          </w:p>
        </w:tc>
        <w:tc>
          <w:tcPr>
            <w:tcW w:type="dxa" w:w="850"/>
            <w:shd w:val="clear" w:color="auto" w:fill="F2F8F7"/>
          </w:tcPr>
          <w:p>
            <w:pPr>
              <w:spacing w:before="60" w:after="60"/>
            </w:pPr>
            <w:r>
              <w:rPr>
                <w:sz w:val="18"/>
              </w:rPr>
              <w:t>0.010</w:t>
            </w:r>
          </w:p>
        </w:tc>
        <w:tc>
          <w:tcPr>
            <w:tcW w:type="dxa" w:w="794"/>
            <w:shd w:val="clear" w:color="auto" w:fill="F2F8F7"/>
          </w:tcPr>
          <w:p>
            <w:pPr>
              <w:spacing w:before="60" w:after="60"/>
            </w:pPr>
            <w:r>
              <w:rPr>
                <w:sz w:val="18"/>
              </w:rPr>
              <w:t>0.000</w:t>
            </w:r>
          </w:p>
        </w:tc>
        <w:tc>
          <w:tcPr>
            <w:tcW w:type="dxa" w:w="794"/>
            <w:shd w:val="clear" w:color="auto" w:fill="F2F8F7"/>
          </w:tcPr>
          <w:p>
            <w:pPr>
              <w:spacing w:before="60" w:after="60"/>
            </w:pPr>
            <w:r>
              <w:rPr>
                <w:sz w:val="18"/>
              </w:rPr>
              <w:t>0.092</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100.0%</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90.262</w:t>
            </w:r>
          </w:p>
        </w:tc>
        <w:tc>
          <w:tcPr>
            <w:tcW w:type="dxa" w:w="850"/>
            <w:shd w:val="clear" w:color="auto" w:fill="FFFFFF"/>
          </w:tcPr>
          <w:p>
            <w:pPr>
              <w:spacing w:before="60" w:after="60"/>
            </w:pPr>
            <w:r>
              <w:rPr>
                <w:sz w:val="18"/>
              </w:rPr>
              <w:t>8.982</w:t>
            </w:r>
          </w:p>
        </w:tc>
        <w:tc>
          <w:tcPr>
            <w:tcW w:type="dxa" w:w="794"/>
            <w:shd w:val="clear" w:color="auto" w:fill="FFFFFF"/>
          </w:tcPr>
          <w:p>
            <w:pPr>
              <w:spacing w:before="60" w:after="60"/>
            </w:pPr>
            <w:r>
              <w:rPr>
                <w:sz w:val="18"/>
              </w:rPr>
              <w:t>75.095</w:t>
            </w:r>
          </w:p>
        </w:tc>
        <w:tc>
          <w:tcPr>
            <w:tcW w:type="dxa" w:w="794"/>
            <w:shd w:val="clear" w:color="auto" w:fill="FFFFFF"/>
          </w:tcPr>
          <w:p>
            <w:pPr>
              <w:spacing w:before="60" w:after="60"/>
            </w:pPr>
            <w:r>
              <w:rPr>
                <w:sz w:val="18"/>
              </w:rPr>
              <w:t>303.263</w:t>
            </w:r>
          </w:p>
        </w:tc>
        <w:tc>
          <w:tcPr>
            <w:tcW w:type="dxa" w:w="964"/>
            <w:shd w:val="clear" w:color="auto" w:fill="FFFFFF"/>
          </w:tcPr>
          <w:p>
            <w:pPr>
              <w:spacing w:before="60" w:after="60"/>
            </w:pPr>
            <w:r>
              <w:rPr>
                <w:sz w:val="18"/>
              </w:rPr>
              <w:t>82.0</w:t>
            </w:r>
          </w:p>
        </w:tc>
        <w:tc>
          <w:tcPr>
            <w:tcW w:type="dxa" w:w="964"/>
            <w:shd w:val="clear" w:color="auto" w:fill="FFFFFF"/>
          </w:tcPr>
          <w:p>
            <w:pPr>
              <w:spacing w:before="60" w:after="60"/>
            </w:pPr>
            <w:r>
              <w:rPr>
                <w:sz w:val="18"/>
              </w:rPr>
              <w:t>88.0</w:t>
            </w:r>
          </w:p>
        </w:tc>
        <w:tc>
          <w:tcPr>
            <w:tcW w:type="dxa" w:w="1020"/>
            <w:shd w:val="clear" w:color="auto" w:fill="FFFFFF"/>
          </w:tcPr>
          <w:p>
            <w:pPr>
              <w:spacing w:before="60" w:after="60"/>
            </w:pPr>
            <w:r>
              <w:rPr>
                <w:sz w:val="18"/>
              </w:rPr>
              <w:t>29.9%</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891.668</w:t>
            </w:r>
          </w:p>
        </w:tc>
        <w:tc>
          <w:tcPr>
            <w:tcW w:type="dxa" w:w="850"/>
            <w:shd w:val="clear" w:color="auto" w:fill="F2F8F7"/>
          </w:tcPr>
          <w:p>
            <w:pPr>
              <w:spacing w:before="60" w:after="60"/>
            </w:pPr>
            <w:r>
              <w:rPr>
                <w:sz w:val="18"/>
              </w:rPr>
              <w:t>36.697</w:t>
            </w:r>
          </w:p>
        </w:tc>
        <w:tc>
          <w:tcPr>
            <w:tcW w:type="dxa" w:w="794"/>
            <w:shd w:val="clear" w:color="auto" w:fill="F2F8F7"/>
          </w:tcPr>
          <w:p>
            <w:pPr>
              <w:spacing w:before="60" w:after="60"/>
            </w:pPr>
            <w:r>
              <w:rPr>
                <w:sz w:val="18"/>
              </w:rPr>
              <w:t>570.220</w:t>
            </w:r>
          </w:p>
        </w:tc>
        <w:tc>
          <w:tcPr>
            <w:tcW w:type="dxa" w:w="794"/>
            <w:shd w:val="clear" w:color="auto" w:fill="F2F8F7"/>
          </w:tcPr>
          <w:p>
            <w:pPr>
              <w:spacing w:before="60" w:after="60"/>
            </w:pPr>
            <w:r>
              <w:rPr>
                <w:sz w:val="18"/>
              </w:rPr>
              <w:t>967.757</w:t>
            </w:r>
          </w:p>
        </w:tc>
        <w:tc>
          <w:tcPr>
            <w:tcW w:type="dxa" w:w="964"/>
            <w:shd w:val="clear" w:color="auto" w:fill="F2F8F7"/>
          </w:tcPr>
          <w:p>
            <w:pPr>
              <w:spacing w:before="60" w:after="60"/>
            </w:pPr>
            <w:r>
              <w:rPr>
                <w:sz w:val="18"/>
              </w:rPr>
              <w:t>930</w:t>
            </w:r>
          </w:p>
        </w:tc>
        <w:tc>
          <w:tcPr>
            <w:tcW w:type="dxa" w:w="964"/>
            <w:shd w:val="clear" w:color="auto" w:fill="F2F8F7"/>
          </w:tcPr>
          <w:p>
            <w:pPr>
              <w:spacing w:before="60" w:after="60"/>
            </w:pPr>
            <w:r>
              <w:rPr>
                <w:sz w:val="18"/>
              </w:rPr>
              <w:t>970</w:t>
            </w:r>
          </w:p>
        </w:tc>
        <w:tc>
          <w:tcPr>
            <w:tcW w:type="dxa" w:w="1020"/>
            <w:shd w:val="clear" w:color="auto" w:fill="F2F8F7"/>
          </w:tcPr>
          <w:p>
            <w:pPr>
              <w:spacing w:before="60" w:after="60"/>
            </w:pPr>
            <w:r>
              <w:rPr>
                <w:sz w:val="18"/>
              </w:rPr>
              <w:t>13.2%</w:t>
            </w:r>
          </w:p>
        </w:tc>
        <w:tc>
          <w:tcPr>
            <w:tcW w:type="dxa" w:w="1247"/>
            <w:shd w:val="clear" w:color="auto" w:fill="F2F8F7"/>
          </w:tcPr>
          <w:p>
            <w:pPr>
              <w:spacing w:before="60" w:after="60"/>
            </w:pPr>
            <w:r>
              <w:rPr>
                <w:sz w:val="18"/>
              </w:rPr>
              <w:t>✗ Critical</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8.835</w:t>
            </w:r>
          </w:p>
        </w:tc>
        <w:tc>
          <w:tcPr>
            <w:tcW w:type="dxa" w:w="850"/>
            <w:shd w:val="clear" w:color="auto" w:fill="FFFFFF"/>
          </w:tcPr>
          <w:p>
            <w:pPr>
              <w:spacing w:before="60" w:after="60"/>
            </w:pPr>
            <w:r>
              <w:rPr>
                <w:sz w:val="18"/>
              </w:rPr>
              <w:t>0.151</w:t>
            </w:r>
          </w:p>
        </w:tc>
        <w:tc>
          <w:tcPr>
            <w:tcW w:type="dxa" w:w="794"/>
            <w:shd w:val="clear" w:color="auto" w:fill="FFFFFF"/>
          </w:tcPr>
          <w:p>
            <w:pPr>
              <w:spacing w:before="60" w:after="60"/>
            </w:pPr>
            <w:r>
              <w:rPr>
                <w:sz w:val="18"/>
              </w:rPr>
              <w:t>8.412</w:t>
            </w:r>
          </w:p>
        </w:tc>
        <w:tc>
          <w:tcPr>
            <w:tcW w:type="dxa" w:w="794"/>
            <w:shd w:val="clear" w:color="auto" w:fill="FFFFFF"/>
          </w:tcPr>
          <w:p>
            <w:pPr>
              <w:spacing w:before="60" w:after="60"/>
            </w:pPr>
            <w:r>
              <w:rPr>
                <w:sz w:val="18"/>
              </w:rPr>
              <w:t>9.055</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525.698</w:t>
            </w:r>
          </w:p>
        </w:tc>
        <w:tc>
          <w:tcPr>
            <w:tcW w:type="dxa" w:w="850"/>
            <w:shd w:val="clear" w:color="auto" w:fill="F2F8F7"/>
          </w:tcPr>
          <w:p>
            <w:pPr>
              <w:spacing w:before="60" w:after="60"/>
            </w:pPr>
            <w:r>
              <w:rPr>
                <w:sz w:val="18"/>
              </w:rPr>
              <w:t>106.369</w:t>
            </w:r>
          </w:p>
        </w:tc>
        <w:tc>
          <w:tcPr>
            <w:tcW w:type="dxa" w:w="794"/>
            <w:shd w:val="clear" w:color="auto" w:fill="F2F8F7"/>
          </w:tcPr>
          <w:p>
            <w:pPr>
              <w:spacing w:before="60" w:after="60"/>
            </w:pPr>
            <w:r>
              <w:rPr>
                <w:sz w:val="18"/>
              </w:rPr>
              <w:t>59.013</w:t>
            </w:r>
          </w:p>
        </w:tc>
        <w:tc>
          <w:tcPr>
            <w:tcW w:type="dxa" w:w="794"/>
            <w:shd w:val="clear" w:color="auto" w:fill="F2F8F7"/>
          </w:tcPr>
          <w:p>
            <w:pPr>
              <w:spacing w:before="60" w:after="60"/>
            </w:pPr>
            <w:r>
              <w:rPr>
                <w:sz w:val="18"/>
              </w:rPr>
              <w:t>715.000</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5.754</w:t>
            </w:r>
          </w:p>
        </w:tc>
        <w:tc>
          <w:tcPr>
            <w:tcW w:type="dxa" w:w="850"/>
            <w:shd w:val="clear" w:color="auto" w:fill="FFFFFF"/>
          </w:tcPr>
          <w:p>
            <w:pPr>
              <w:spacing w:before="60" w:after="60"/>
            </w:pPr>
            <w:r>
              <w:rPr>
                <w:sz w:val="18"/>
              </w:rPr>
              <w:t>0.592</w:t>
            </w:r>
          </w:p>
        </w:tc>
        <w:tc>
          <w:tcPr>
            <w:tcW w:type="dxa" w:w="794"/>
            <w:shd w:val="clear" w:color="auto" w:fill="FFFFFF"/>
          </w:tcPr>
          <w:p>
            <w:pPr>
              <w:spacing w:before="60" w:after="60"/>
            </w:pPr>
            <w:r>
              <w:rPr>
                <w:sz w:val="18"/>
              </w:rPr>
              <w:t>3.150</w:t>
            </w:r>
          </w:p>
        </w:tc>
        <w:tc>
          <w:tcPr>
            <w:tcW w:type="dxa" w:w="794"/>
            <w:shd w:val="clear" w:color="auto" w:fill="FFFFFF"/>
          </w:tcPr>
          <w:p>
            <w:pPr>
              <w:spacing w:before="60" w:after="60"/>
            </w:pPr>
            <w:r>
              <w:rPr>
                <w:sz w:val="18"/>
              </w:rPr>
              <w:t>6.947</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20.467</w:t>
            </w:r>
          </w:p>
        </w:tc>
        <w:tc>
          <w:tcPr>
            <w:tcW w:type="dxa" w:w="850"/>
            <w:shd w:val="clear" w:color="auto" w:fill="F2F8F7"/>
          </w:tcPr>
          <w:p>
            <w:pPr>
              <w:spacing w:before="60" w:after="60"/>
            </w:pPr>
            <w:r>
              <w:rPr>
                <w:sz w:val="18"/>
              </w:rPr>
              <w:t>2.009</w:t>
            </w:r>
          </w:p>
        </w:tc>
        <w:tc>
          <w:tcPr>
            <w:tcW w:type="dxa" w:w="794"/>
            <w:shd w:val="clear" w:color="auto" w:fill="F2F8F7"/>
          </w:tcPr>
          <w:p>
            <w:pPr>
              <w:spacing w:before="60" w:after="60"/>
            </w:pPr>
            <w:r>
              <w:rPr>
                <w:sz w:val="18"/>
              </w:rPr>
              <w:t>17.086</w:t>
            </w:r>
          </w:p>
        </w:tc>
        <w:tc>
          <w:tcPr>
            <w:tcW w:type="dxa" w:w="794"/>
            <w:shd w:val="clear" w:color="auto" w:fill="F2F8F7"/>
          </w:tcPr>
          <w:p>
            <w:pPr>
              <w:spacing w:before="60" w:after="60"/>
            </w:pPr>
            <w:r>
              <w:rPr>
                <w:sz w:val="18"/>
              </w:rPr>
              <w:t>25.674</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82656"/>
            <wp:docPr id="1" name="Picture 1"/>
            <wp:cNvGraphicFramePr>
              <a:graphicFrameLocks noChangeAspect="1"/>
            </wp:cNvGraphicFramePr>
            <a:graphic>
              <a:graphicData uri="http://schemas.openxmlformats.org/drawingml/2006/picture">
                <pic:pic>
                  <pic:nvPicPr>
                    <pic:cNvPr id="0" name="flowserve_us_raleigh_nc_us_august_2026_corrosion.png"/>
                    <pic:cNvPicPr/>
                  </pic:nvPicPr>
                  <pic:blipFill>
                    <a:blip r:embed="rId11"/>
                    <a:stretch>
                      <a:fillRect/>
                    </a:stretch>
                  </pic:blipFill>
                  <pic:spPr>
                    <a:xfrm>
                      <a:off x="0" y="0"/>
                      <a:ext cx="5486400" cy="2582656"/>
                    </a:xfrm>
                    <a:prstGeom prst="rect"/>
                  </pic:spPr>
                </pic:pic>
              </a:graphicData>
            </a:graphic>
          </wp:inline>
        </w:drawing>
      </w:r>
    </w:p>
    <w:p>
      <w:pPr>
        <w:spacing w:after="120"/>
        <w:jc w:val="center"/>
      </w:pPr>
      <w:r>
        <w:rPr>
          <w:i/>
          <w:color w:val="444444"/>
          <w:sz w:val="17"/>
        </w:rPr>
        <w:t>Figure 1: Corrosion Rate — August 2026</w:t>
      </w:r>
    </w:p>
    <w:p>
      <w:pPr>
        <w:spacing w:before="40" w:after="200"/>
      </w:pPr>
      <w:r>
        <w:rPr>
          <w:b/>
          <w:i/>
          <w:color w:val="333333"/>
          <w:sz w:val="19"/>
        </w:rPr>
        <w:t xml:space="preserve">Comment: </w:t>
      </w:r>
      <w:r>
        <w:rPr>
          <w:i/>
          <w:color w:val="333333"/>
          <w:sz w:val="19"/>
        </w:rPr>
        <w:t>Pattern: corrosion control is increasing, but remains good against the target.</w:t>
      </w:r>
      <w:r>
        <w:br/>
      </w:r>
      <w:r>
        <w:rPr>
          <w:i/>
          <w:color w:val="333333"/>
          <w:sz w:val="19"/>
        </w:rPr>
        <w:t>Mild steel corrosion increased across the month, while copper corrosion decreased across the month.</w:t>
      </w:r>
      <w:r>
        <w:br/>
      </w:r>
      <w:r>
        <w:rPr>
          <w:i/>
          <w:color w:val="333333"/>
          <w:sz w:val="19"/>
        </w:rPr>
        <w:t>MS was within the 3.0 MPY target, and Cu was within the 0.5 MPY target.</w:t>
      </w:r>
      <w:r>
        <w:br/>
      </w:r>
      <w:r>
        <w:rPr>
          <w:i/>
          <w:color w:val="333333"/>
          <w:sz w:val="19"/>
        </w:rPr>
        <w:t>Likely reason: corrosion is still protected, but increasing movement should be checked against product and ORP trends.</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78283"/>
            <wp:docPr id="2" name="Picture 2"/>
            <wp:cNvGraphicFramePr>
              <a:graphicFrameLocks noChangeAspect="1"/>
            </wp:cNvGraphicFramePr>
            <a:graphic>
              <a:graphicData uri="http://schemas.openxmlformats.org/drawingml/2006/picture">
                <pic:pic>
                  <pic:nvPicPr>
                    <pic:cNvPr id="0" name="flowserve_us_raleigh_nc_us_august_2026_traced_product.png"/>
                    <pic:cNvPicPr/>
                  </pic:nvPicPr>
                  <pic:blipFill>
                    <a:blip r:embed="rId12"/>
                    <a:stretch>
                      <a:fillRect/>
                    </a:stretch>
                  </pic:blipFill>
                  <pic:spPr>
                    <a:xfrm>
                      <a:off x="0" y="0"/>
                      <a:ext cx="5486400" cy="2578283"/>
                    </a:xfrm>
                    <a:prstGeom prst="rect"/>
                  </pic:spPr>
                </pic:pic>
              </a:graphicData>
            </a:graphic>
          </wp:inline>
        </w:drawing>
      </w:r>
    </w:p>
    <w:p>
      <w:pPr>
        <w:spacing w:after="120"/>
        <w:jc w:val="center"/>
      </w:pPr>
      <w:r>
        <w:rPr>
          <w:i/>
          <w:color w:val="444444"/>
          <w:sz w:val="17"/>
        </w:rPr>
        <w:t>Figure 2: Traced Product — August 2026</w:t>
      </w:r>
    </w:p>
    <w:p>
      <w:pPr>
        <w:spacing w:before="40" w:after="200"/>
      </w:pPr>
      <w:r>
        <w:rPr>
          <w:b/>
          <w:i/>
          <w:color w:val="333333"/>
          <w:sz w:val="19"/>
        </w:rPr>
        <w:t xml:space="preserve">Comment: </w:t>
      </w:r>
      <w:r>
        <w:rPr>
          <w:i/>
          <w:color w:val="333333"/>
          <w:sz w:val="19"/>
        </w:rPr>
        <w:t>Pattern: Traced Product is still not maintained at the end of the month.</w:t>
      </w:r>
      <w:r>
        <w:br/>
      </w:r>
      <w:r>
        <w:rPr>
          <w:i/>
          <w:color w:val="333333"/>
          <w:sz w:val="19"/>
        </w:rPr>
        <w:t>The trend moved from about 89.6 ppm at the start to 90.9 ppm at the end.</w:t>
      </w:r>
      <w:r>
        <w:br/>
      </w:r>
      <w:r>
        <w:rPr>
          <w:i/>
          <w:color w:val="333333"/>
          <w:sz w:val="19"/>
        </w:rPr>
        <w:t>The Traced Product average was above the configured range. The monthly in-range performance was 29.9%.</w:t>
      </w:r>
      <w:r>
        <w:br/>
      </w:r>
      <w:r>
        <w:rPr>
          <w:i/>
          <w:color w:val="333333"/>
          <w:sz w:val="19"/>
        </w:rPr>
        <w:t>Likely reason: conductivity was not maintained, so the Traced Product variation should be tied to conductivity control before assigning another cause.</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84849"/>
            <wp:docPr id="3" name="Picture 3"/>
            <wp:cNvGraphicFramePr>
              <a:graphicFrameLocks noChangeAspect="1"/>
            </wp:cNvGraphicFramePr>
            <a:graphic>
              <a:graphicData uri="http://schemas.openxmlformats.org/drawingml/2006/picture">
                <pic:pic>
                  <pic:nvPicPr>
                    <pic:cNvPr id="0" name="flowserve_us_raleigh_nc_us_august_2026_orp_corrosion.png"/>
                    <pic:cNvPicPr/>
                  </pic:nvPicPr>
                  <pic:blipFill>
                    <a:blip r:embed="rId13"/>
                    <a:stretch>
                      <a:fillRect/>
                    </a:stretch>
                  </pic:blipFill>
                  <pic:spPr>
                    <a:xfrm>
                      <a:off x="0" y="0"/>
                      <a:ext cx="5486400" cy="2584849"/>
                    </a:xfrm>
                    <a:prstGeom prst="rect"/>
                  </pic:spPr>
                </pic:pic>
              </a:graphicData>
            </a:graphic>
          </wp:inline>
        </w:drawing>
      </w:r>
    </w:p>
    <w:p>
      <w:pPr>
        <w:spacing w:after="120"/>
        <w:jc w:val="center"/>
      </w:pPr>
      <w:r>
        <w:rPr>
          <w:i/>
          <w:color w:val="444444"/>
          <w:sz w:val="17"/>
        </w:rPr>
        <w:t>Figure 3: ORP vs Copper Corrosion Rate — August 2026</w:t>
      </w:r>
    </w:p>
    <w:p>
      <w:pPr>
        <w:spacing w:before="40" w:after="200"/>
      </w:pPr>
      <w:r>
        <w:rPr>
          <w:b/>
          <w:i/>
          <w:color w:val="333333"/>
          <w:sz w:val="19"/>
        </w:rPr>
        <w:t xml:space="preserve">Comment: </w:t>
      </w:r>
      <w:r>
        <w:rPr>
          <w:i/>
          <w:color w:val="333333"/>
          <w:sz w:val="19"/>
        </w:rPr>
        <w:t>Pattern: ORP response is decreasing across the month.</w:t>
      </w:r>
      <w:r>
        <w:br/>
      </w:r>
      <w:r>
        <w:rPr>
          <w:i/>
          <w:color w:val="333333"/>
          <w:sz w:val="19"/>
        </w:rPr>
        <w:t>ORP did not show a strong spike response pattern during the month without relying on absolute ORP values.</w:t>
      </w:r>
      <w:r>
        <w:br/>
      </w:r>
      <w:r>
        <w:rPr>
          <w:i/>
          <w:color w:val="333333"/>
          <w:sz w:val="19"/>
        </w:rPr>
        <w:t>Copper corrosion decreased across the month while the ORP pattern changed.</w:t>
      </w:r>
      <w:r>
        <w:br/>
      </w:r>
      <w:r>
        <w:rPr>
          <w:i/>
          <w:color w:val="333333"/>
          <w:sz w:val="19"/>
        </w:rPr>
        <w:t>Likely reason: biocide feed timing, relay operation, oxidizer inventory, or field FRC residual should be checked.</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82656"/>
            <wp:docPr id="4" name="Picture 4"/>
            <wp:cNvGraphicFramePr>
              <a:graphicFrameLocks noChangeAspect="1"/>
            </wp:cNvGraphicFramePr>
            <a:graphic>
              <a:graphicData uri="http://schemas.openxmlformats.org/drawingml/2006/picture">
                <pic:pic>
                  <pic:nvPicPr>
                    <pic:cNvPr id="0" name="flowserve_us_raleigh_nc_us_august_2026_biocide_corrosion.png"/>
                    <pic:cNvPicPr/>
                  </pic:nvPicPr>
                  <pic:blipFill>
                    <a:blip r:embed="rId14"/>
                    <a:stretch>
                      <a:fillRect/>
                    </a:stretch>
                  </pic:blipFill>
                  <pic:spPr>
                    <a:xfrm>
                      <a:off x="0" y="0"/>
                      <a:ext cx="5486400" cy="2582656"/>
                    </a:xfrm>
                    <a:prstGeom prst="rect"/>
                  </pic:spPr>
                </pic:pic>
              </a:graphicData>
            </a:graphic>
          </wp:inline>
        </w:drawing>
      </w:r>
    </w:p>
    <w:p>
      <w:pPr>
        <w:spacing w:after="120"/>
        <w:jc w:val="center"/>
      </w:pPr>
      <w:r>
        <w:rPr>
          <w:i/>
          <w:color w:val="444444"/>
          <w:sz w:val="17"/>
        </w:rPr>
        <w:t>Figure 4: Oxidizing Biocide Pump Relay vs Copper Corrosion — August 2026</w:t>
      </w:r>
    </w:p>
    <w:p>
      <w:pPr>
        <w:spacing w:before="40" w:after="200"/>
      </w:pPr>
      <w:r>
        <w:rPr>
          <w:b/>
          <w:i/>
          <w:color w:val="333333"/>
          <w:sz w:val="19"/>
        </w:rPr>
        <w:t xml:space="preserve">Comment: </w:t>
      </w:r>
      <w:r>
        <w:rPr>
          <w:i/>
          <w:color w:val="333333"/>
          <w:sz w:val="19"/>
        </w:rPr>
        <w:t>Pattern: biocide feed versus copper corrosion is decreasing, but remains good against the target.</w:t>
      </w:r>
      <w:r>
        <w:br/>
      </w:r>
      <w:r>
        <w:rPr>
          <w:i/>
          <w:color w:val="333333"/>
          <w:sz w:val="19"/>
        </w:rPr>
        <w:t>Biocide relay activity was present in the monthly trend.</w:t>
      </w:r>
      <w:r>
        <w:br/>
      </w:r>
      <w:r>
        <w:rPr>
          <w:i/>
          <w:color w:val="333333"/>
          <w:sz w:val="19"/>
        </w:rPr>
        <w:t>Relay activity increased across the month when the month is split into early and late periods.</w:t>
      </w:r>
      <w:r>
        <w:br/>
      </w:r>
      <w:r>
        <w:rPr>
          <w:i/>
          <w:color w:val="333333"/>
          <w:sz w:val="19"/>
        </w:rPr>
        <w:t>Likely reason: relay feed timing is adequate and copper corrosion remains protected.</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78283"/>
            <wp:docPr id="5" name="Picture 5"/>
            <wp:cNvGraphicFramePr>
              <a:graphicFrameLocks noChangeAspect="1"/>
            </wp:cNvGraphicFramePr>
            <a:graphic>
              <a:graphicData uri="http://schemas.openxmlformats.org/drawingml/2006/picture">
                <pic:pic>
                  <pic:nvPicPr>
                    <pic:cNvPr id="0" name="flowserve_us_raleigh_nc_us_august_2026_conductivity.png"/>
                    <pic:cNvPicPr/>
                  </pic:nvPicPr>
                  <pic:blipFill>
                    <a:blip r:embed="rId15"/>
                    <a:stretch>
                      <a:fillRect/>
                    </a:stretch>
                  </pic:blipFill>
                  <pic:spPr>
                    <a:xfrm>
                      <a:off x="0" y="0"/>
                      <a:ext cx="5486400" cy="2578283"/>
                    </a:xfrm>
                    <a:prstGeom prst="rect"/>
                  </pic:spPr>
                </pic:pic>
              </a:graphicData>
            </a:graphic>
          </wp:inline>
        </w:drawing>
      </w:r>
    </w:p>
    <w:p>
      <w:pPr>
        <w:spacing w:after="120"/>
        <w:jc w:val="center"/>
      </w:pPr>
      <w:r>
        <w:rPr>
          <w:i/>
          <w:color w:val="444444"/>
          <w:sz w:val="17"/>
        </w:rPr>
        <w:t>Figure 5: Electrode Conductivity — August 2026</w:t>
      </w:r>
    </w:p>
    <w:p>
      <w:pPr>
        <w:spacing w:before="40" w:after="200"/>
      </w:pPr>
      <w:r>
        <w:rPr>
          <w:b/>
          <w:i/>
          <w:color w:val="333333"/>
          <w:sz w:val="19"/>
        </w:rPr>
        <w:t xml:space="preserve">Comment: </w:t>
      </w:r>
      <w:r>
        <w:rPr>
          <w:i/>
          <w:color w:val="333333"/>
          <w:sz w:val="19"/>
        </w:rPr>
        <w:t>Pattern: conductivity is stable and needs attention against the target.</w:t>
      </w:r>
      <w:r>
        <w:br/>
      </w:r>
      <w:r>
        <w:rPr>
          <w:i/>
          <w:color w:val="333333"/>
          <w:sz w:val="19"/>
        </w:rPr>
        <w:t>The trend moved from about 889.4 µS/cm at the start to 893.9 µS/cm at the end.</w:t>
      </w:r>
      <w:r>
        <w:br/>
      </w:r>
      <w:r>
        <w:rPr>
          <w:i/>
          <w:color w:val="333333"/>
          <w:sz w:val="19"/>
        </w:rPr>
        <w:t>The conductivity average was below the configured range. The monthly in-range performance was 13.2%.</w:t>
      </w:r>
      <w:r>
        <w:br/>
      </w:r>
      <w:r>
        <w:rPr>
          <w:i/>
          <w:color w:val="333333"/>
          <w:sz w:val="19"/>
        </w:rPr>
        <w:t>Likely reason: dilution, water loss, excess blowdown, or makeup changes are keeping conductivity low.</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Overall August performance for Flowserve showed Excellent corrosion control and Acceptable microbial control, while water efficiency and Traced Product consistency need follow-up. The primary action is to investigate low conductivity and possible dilution, excess blowdown, makeup change, or water loss, then confirm product residual response after conductivity control is stabilized.</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Flowserve US Raleigh NC (US)  |  August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