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Flowserve US Raleigh NC (US)</w:t>
      </w:r>
    </w:p>
    <w:p>
      <w:pPr>
        <w:spacing w:before="60" w:after="360"/>
        <w:jc w:val="center"/>
      </w:pPr>
      <w:r>
        <w:rPr>
          <w:b w:val="0"/>
          <w:i w:val="0"/>
          <w:color w:val="444444"/>
          <w:sz w:val="20"/>
        </w:rPr>
        <w:t>Reporting Month: July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Flowserve US Raleigh NC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84253F5EE1C9</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Flowserve US Raleigh NC (US), July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20 August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Excellent</w:t>
      </w:r>
    </w:p>
    <w:p>
      <w:pPr>
        <w:spacing w:before="80" w:after="120"/>
        <w:jc w:val="left"/>
      </w:pPr>
      <w:r>
        <w:rPr>
          <w:b w:val="0"/>
          <w:i w:val="0"/>
          <w:sz w:val="20"/>
        </w:rPr>
        <w:t>The average mild steel corrosion rate was 1.10 MPY against the target of within 3.0 MPY, and the average copper corrosion rate was 0.0250 MPY against the target of within 0.5 MPY. Both corrosion indicators were maintained within the required control targets for the July reporting period, supporting excellent asset preservation for the cooling water system.</w:t>
      </w:r>
    </w:p>
    <w:p>
      <w:pPr>
        <w:spacing w:before="160" w:after="40"/>
      </w:pPr>
      <w:r>
        <w:rPr>
          <w:b/>
          <w:color w:val="222222"/>
          <w:sz w:val="22"/>
        </w:rPr>
        <w:t>Scale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was within the Controller Setpoint control range for 41.3% of the reporting month. Polymer consumption rate averaged 64.3% and decreased from 64.6% at the start of the month to 64.3% at the end of the month. The product was higher than target during the initial part of the month and moved closer to the control band later, but end-of-month control was 52.4% within range, so it is not yet consistently maintained well. The end-of-month traced product deviation from setpoint is minimal, so the control logic will be optimised. Conductivity was below its setpoint configuration range for most of the same period, so water loss, dilution, or blowdown/makeup behavior should be inspected during the upcoming service visit.</w:t>
      </w:r>
    </w:p>
    <w:p>
      <w:pPr>
        <w:spacing w:before="160" w:after="40"/>
      </w:pPr>
      <w:r>
        <w:rPr>
          <w:b/>
          <w:color w:val="222222"/>
          <w:sz w:val="22"/>
        </w:rPr>
        <w:t>Microbial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FRC data was not available in the MDE data for this reporting period and will be checked during the upcoming service visit. ORP spike response after biocide feed was consistent, indicating the slug dosage of biocide is successful.</w:t>
      </w:r>
    </w:p>
    <w:p>
      <w:pPr>
        <w:spacing w:before="80" w:after="120"/>
        <w:jc w:val="left"/>
      </w:pPr>
      <w:r>
        <w:rPr>
          <w:b w:val="0"/>
          <w:i w:val="0"/>
          <w:sz w:val="20"/>
        </w:rPr>
        <w:t>Dip-slide analysis was not available for this reporting period and will be measured during the upcoming service visit.</w:t>
      </w:r>
    </w:p>
    <w:p>
      <w:pPr>
        <w:spacing w:before="200" w:after="60"/>
      </w:pPr>
      <w:r>
        <w:rPr>
          <w:b/>
          <w:color w:val="005F58"/>
          <w:sz w:val="26"/>
        </w:rPr>
        <w:t>Water Efficiency</w:t>
      </w:r>
    </w:p>
    <w:p>
      <w:pPr>
        <w:spacing w:before="80" w:after="120"/>
        <w:jc w:val="left"/>
      </w:pPr>
      <w:r>
        <w:rPr>
          <w:b w:val="0"/>
          <w:i w:val="0"/>
          <w:sz w:val="20"/>
        </w:rPr>
        <w:t>Makeup water conductivity is not available for this site. Actual cycles of concentration cannot be calculated. Makeup conductivity should be captured at the next service visit.</w:t>
      </w:r>
    </w:p>
    <w:p>
      <w:pPr>
        <w:spacing w:before="80" w:after="120"/>
        <w:jc w:val="left"/>
      </w:pPr>
      <w:r>
        <w:rPr>
          <w:b w:val="0"/>
          <w:i w:val="0"/>
          <w:sz w:val="20"/>
        </w:rPr>
        <w:t>Conductivity averaged 890.6 uS/cm against the SCC range of 930-970 uS/cm, with 20.2% of July readings maintained within range. Makeup conductivity was not available, so current COC and target COC could not be calculated; this will be reviewed when makeup conductivity data is available. Because conductivity was below the control range for much of the period, possible water loss, makeup/blowdown behavior, or dilution should be inspected during the upcoming service visit.</w:t>
      </w:r>
    </w:p>
    <w:p>
      <w:pPr>
        <w:spacing w:before="200" w:after="60"/>
      </w:pPr>
      <w:r>
        <w:rPr>
          <w:b/>
          <w:color w:val="005F58"/>
          <w:sz w:val="26"/>
        </w:rPr>
        <w:t>Product Efficiency</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was 41.3% within the SCC control range, and actual product consumption data was not available for direct comparison with target consumption. Product efficiency should be reviewed by checking calibration, feed settings, and pump operation, then comparing actual consumption once usage data is available.</w:t>
      </w:r>
    </w:p>
    <w:p>
      <w:pPr>
        <w:spacing w:before="200" w:after="60"/>
      </w:pPr>
      <w:r>
        <w:rPr>
          <w:b/>
          <w:color w:val="005F58"/>
          <w:sz w:val="26"/>
        </w:rPr>
        <w:t>Proactive System Support</w:t>
      </w:r>
    </w:p>
    <w:p>
      <w:pPr>
        <w:spacing w:before="80" w:after="120"/>
        <w:jc w:val="left"/>
      </w:pPr>
      <w:r>
        <w:rPr>
          <w:b w:val="0"/>
          <w:i w:val="0"/>
          <w:sz w:val="20"/>
        </w:rPr>
        <w:t>No service notes were recorded for this reporting period. The main proactive follow-up items are to verify Traced Product feed and fluorometer calibration, review conductivity control and water balance, and collect FRC during the next service visit.</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814"/>
            <w:shd w:val="clear" w:color="auto" w:fill="00857C"/>
          </w:tcPr>
          <w:p>
            <w:pPr>
              <w:spacing w:before="60" w:after="60"/>
            </w:pPr>
            <w:r>
              <w:rPr>
                <w:b/>
                <w:color w:val="FFFFFF"/>
                <w:sz w:val="18"/>
              </w:rPr>
              <w:t>Parameter</w:t>
            </w:r>
          </w:p>
        </w:tc>
        <w:tc>
          <w:tcPr>
            <w:tcW w:type="dxa" w:w="1247"/>
            <w:shd w:val="clear" w:color="auto" w:fill="00857C"/>
          </w:tcPr>
          <w:p>
            <w:pPr>
              <w:spacing w:before="60" w:after="60"/>
            </w:pPr>
            <w:r>
              <w:rPr>
                <w:b/>
                <w:color w:val="FFFFFF"/>
                <w:sz w:val="18"/>
              </w:rPr>
              <w:t>Context Point</w:t>
            </w:r>
          </w:p>
        </w:tc>
        <w:tc>
          <w:tcPr>
            <w:tcW w:type="dxa" w:w="850"/>
            <w:shd w:val="clear" w:color="auto" w:fill="00857C"/>
          </w:tcPr>
          <w:p>
            <w:pPr>
              <w:spacing w:before="60" w:after="60"/>
            </w:pPr>
            <w:r>
              <w:rPr>
                <w:b/>
                <w:color w:val="FFFFFF"/>
                <w:sz w:val="18"/>
              </w:rPr>
              <w:t>Average</w:t>
            </w:r>
          </w:p>
        </w:tc>
        <w:tc>
          <w:tcPr>
            <w:tcW w:type="dxa" w:w="850"/>
            <w:shd w:val="clear" w:color="auto" w:fill="00857C"/>
          </w:tcPr>
          <w:p>
            <w:pPr>
              <w:spacing w:before="60" w:after="60"/>
            </w:pPr>
            <w:r>
              <w:rPr>
                <w:b/>
                <w:color w:val="FFFFFF"/>
                <w:sz w:val="18"/>
              </w:rPr>
              <w:t>Std Dev</w:t>
            </w:r>
          </w:p>
        </w:tc>
        <w:tc>
          <w:tcPr>
            <w:tcW w:type="dxa" w:w="794"/>
            <w:shd w:val="clear" w:color="auto" w:fill="00857C"/>
          </w:tcPr>
          <w:p>
            <w:pPr>
              <w:spacing w:before="60" w:after="60"/>
            </w:pPr>
            <w:r>
              <w:rPr>
                <w:b/>
                <w:color w:val="FFFFFF"/>
                <w:sz w:val="18"/>
              </w:rPr>
              <w:t>Min</w:t>
            </w:r>
          </w:p>
        </w:tc>
        <w:tc>
          <w:tcPr>
            <w:tcW w:type="dxa" w:w="794"/>
            <w:shd w:val="clear" w:color="auto" w:fill="00857C"/>
          </w:tcPr>
          <w:p>
            <w:pPr>
              <w:spacing w:before="60" w:after="60"/>
            </w:pPr>
            <w:r>
              <w:rPr>
                <w:b/>
                <w:color w:val="FFFFFF"/>
                <w:sz w:val="18"/>
              </w:rPr>
              <w:t>Max</w:t>
            </w:r>
          </w:p>
        </w:tc>
        <w:tc>
          <w:tcPr>
            <w:tcW w:type="dxa" w:w="964"/>
            <w:shd w:val="clear" w:color="auto" w:fill="00857C"/>
          </w:tcPr>
          <w:p>
            <w:pPr>
              <w:spacing w:before="60" w:after="60"/>
            </w:pPr>
            <w:r>
              <w:rPr>
                <w:b/>
                <w:color w:val="FFFFFF"/>
                <w:sz w:val="18"/>
              </w:rPr>
              <w:t>Lower Limit</w:t>
            </w:r>
          </w:p>
        </w:tc>
        <w:tc>
          <w:tcPr>
            <w:tcW w:type="dxa" w:w="964"/>
            <w:shd w:val="clear" w:color="auto" w:fill="00857C"/>
          </w:tcPr>
          <w:p>
            <w:pPr>
              <w:spacing w:before="60" w:after="60"/>
            </w:pPr>
            <w:r>
              <w:rPr>
                <w:b/>
                <w:color w:val="FFFFFF"/>
                <w:sz w:val="18"/>
              </w:rPr>
              <w:t>Upper Limit</w:t>
            </w:r>
          </w:p>
        </w:tc>
        <w:tc>
          <w:tcPr>
            <w:tcW w:type="dxa" w:w="1020"/>
            <w:shd w:val="clear" w:color="auto" w:fill="00857C"/>
          </w:tcPr>
          <w:p>
            <w:pPr>
              <w:spacing w:before="60" w:after="60"/>
            </w:pPr>
            <w:r>
              <w:rPr>
                <w:b/>
                <w:color w:val="FFFFFF"/>
                <w:sz w:val="18"/>
              </w:rPr>
              <w:t>% In Range</w:t>
            </w:r>
          </w:p>
        </w:tc>
        <w:tc>
          <w:tcPr>
            <w:tcW w:type="dxa" w:w="1247"/>
            <w:shd w:val="clear" w:color="auto" w:fill="00857C"/>
          </w:tcPr>
          <w:p>
            <w:pPr>
              <w:spacing w:before="60" w:after="60"/>
            </w:pPr>
            <w:r>
              <w:rPr>
                <w:b/>
                <w:color w:val="FFFFFF"/>
                <w:sz w:val="18"/>
              </w:rPr>
              <w:t>Status</w:t>
            </w:r>
          </w:p>
        </w:tc>
      </w:tr>
      <w:tr>
        <w:tc>
          <w:tcPr>
            <w:tcW w:type="dxa" w:w="1814"/>
            <w:shd w:val="clear" w:color="auto" w:fill="FFFFFF"/>
          </w:tcPr>
          <w:p>
            <w:pPr>
              <w:spacing w:before="60" w:after="60"/>
            </w:pPr>
            <w:r>
              <w:rPr>
                <w:sz w:val="18"/>
              </w:rPr>
              <w:t>Corrosion – MS (MPY)</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1.102</w:t>
            </w:r>
          </w:p>
        </w:tc>
        <w:tc>
          <w:tcPr>
            <w:tcW w:type="dxa" w:w="850"/>
            <w:shd w:val="clear" w:color="auto" w:fill="FFFFFF"/>
          </w:tcPr>
          <w:p>
            <w:pPr>
              <w:spacing w:before="60" w:after="60"/>
            </w:pPr>
            <w:r>
              <w:rPr>
                <w:sz w:val="18"/>
              </w:rPr>
              <w:t>0.688</w:t>
            </w:r>
          </w:p>
        </w:tc>
        <w:tc>
          <w:tcPr>
            <w:tcW w:type="dxa" w:w="794"/>
            <w:shd w:val="clear" w:color="auto" w:fill="FFFFFF"/>
          </w:tcPr>
          <w:p>
            <w:pPr>
              <w:spacing w:before="60" w:after="60"/>
            </w:pPr>
            <w:r>
              <w:rPr>
                <w:sz w:val="18"/>
              </w:rPr>
              <w:t>0.247</w:t>
            </w:r>
          </w:p>
        </w:tc>
        <w:tc>
          <w:tcPr>
            <w:tcW w:type="dxa" w:w="794"/>
            <w:shd w:val="clear" w:color="auto" w:fill="FFFFFF"/>
          </w:tcPr>
          <w:p>
            <w:pPr>
              <w:spacing w:before="60" w:after="60"/>
            </w:pPr>
            <w:r>
              <w:rPr>
                <w:sz w:val="18"/>
              </w:rPr>
              <w:t>2.818</w:t>
            </w:r>
          </w:p>
        </w:tc>
        <w:tc>
          <w:tcPr>
            <w:tcW w:type="dxa" w:w="964"/>
            <w:shd w:val="clear" w:color="auto" w:fill="FFFFFF"/>
          </w:tcPr>
          <w:p>
            <w:pPr>
              <w:spacing w:before="60" w:after="60"/>
            </w:pPr>
            <w:r>
              <w:rPr>
                <w:sz w:val="18"/>
              </w:rPr>
              <w:t>0.00</w:t>
            </w:r>
          </w:p>
        </w:tc>
        <w:tc>
          <w:tcPr>
            <w:tcW w:type="dxa" w:w="964"/>
            <w:shd w:val="clear" w:color="auto" w:fill="FFFFFF"/>
          </w:tcPr>
          <w:p>
            <w:pPr>
              <w:spacing w:before="60" w:after="60"/>
            </w:pPr>
            <w:r>
              <w:rPr>
                <w:sz w:val="18"/>
              </w:rPr>
              <w:t>3.00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 Excellent</w:t>
            </w:r>
          </w:p>
        </w:tc>
      </w:tr>
      <w:tr>
        <w:tc>
          <w:tcPr>
            <w:tcW w:type="dxa" w:w="1814"/>
            <w:shd w:val="clear" w:color="auto" w:fill="F2F8F7"/>
          </w:tcPr>
          <w:p>
            <w:pPr>
              <w:spacing w:before="60" w:after="60"/>
            </w:pPr>
            <w:r>
              <w:rPr>
                <w:sz w:val="18"/>
              </w:rPr>
              <w:t>Corrosion – Cu (MPY)</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0.025</w:t>
            </w:r>
          </w:p>
        </w:tc>
        <w:tc>
          <w:tcPr>
            <w:tcW w:type="dxa" w:w="850"/>
            <w:shd w:val="clear" w:color="auto" w:fill="F2F8F7"/>
          </w:tcPr>
          <w:p>
            <w:pPr>
              <w:spacing w:before="60" w:after="60"/>
            </w:pPr>
            <w:r>
              <w:rPr>
                <w:sz w:val="18"/>
              </w:rPr>
              <w:t>0.143</w:t>
            </w:r>
          </w:p>
        </w:tc>
        <w:tc>
          <w:tcPr>
            <w:tcW w:type="dxa" w:w="794"/>
            <w:shd w:val="clear" w:color="auto" w:fill="F2F8F7"/>
          </w:tcPr>
          <w:p>
            <w:pPr>
              <w:spacing w:before="60" w:after="60"/>
            </w:pPr>
            <w:r>
              <w:rPr>
                <w:sz w:val="18"/>
              </w:rPr>
              <w:t>0.010</w:t>
            </w:r>
          </w:p>
        </w:tc>
        <w:tc>
          <w:tcPr>
            <w:tcW w:type="dxa" w:w="794"/>
            <w:shd w:val="clear" w:color="auto" w:fill="F2F8F7"/>
          </w:tcPr>
          <w:p>
            <w:pPr>
              <w:spacing w:before="60" w:after="60"/>
            </w:pPr>
            <w:r>
              <w:rPr>
                <w:sz w:val="18"/>
              </w:rPr>
              <w:t>3.308</w:t>
            </w:r>
          </w:p>
        </w:tc>
        <w:tc>
          <w:tcPr>
            <w:tcW w:type="dxa" w:w="964"/>
            <w:shd w:val="clear" w:color="auto" w:fill="F2F8F7"/>
          </w:tcPr>
          <w:p>
            <w:pPr>
              <w:spacing w:before="60" w:after="60"/>
            </w:pPr>
            <w:r>
              <w:rPr>
                <w:sz w:val="18"/>
              </w:rPr>
              <w:t>0.00</w:t>
            </w:r>
          </w:p>
        </w:tc>
        <w:tc>
          <w:tcPr>
            <w:tcW w:type="dxa" w:w="964"/>
            <w:shd w:val="clear" w:color="auto" w:fill="F2F8F7"/>
          </w:tcPr>
          <w:p>
            <w:pPr>
              <w:spacing w:before="60" w:after="60"/>
            </w:pPr>
            <w:r>
              <w:rPr>
                <w:sz w:val="18"/>
              </w:rPr>
              <w:t>0.50</w:t>
            </w:r>
          </w:p>
        </w:tc>
        <w:tc>
          <w:tcPr>
            <w:tcW w:type="dxa" w:w="1020"/>
            <w:shd w:val="clear" w:color="auto" w:fill="F2F8F7"/>
          </w:tcPr>
          <w:p>
            <w:pPr>
              <w:spacing w:before="60" w:after="60"/>
            </w:pPr>
            <w:r>
              <w:rPr>
                <w:sz w:val="18"/>
              </w:rPr>
              <w:t>99.8%</w:t>
            </w:r>
          </w:p>
        </w:tc>
        <w:tc>
          <w:tcPr>
            <w:tcW w:type="dxa" w:w="1247"/>
            <w:shd w:val="clear" w:color="auto" w:fill="F2F8F7"/>
          </w:tcPr>
          <w:p>
            <w:pPr>
              <w:spacing w:before="60" w:after="60"/>
            </w:pPr>
            <w:r>
              <w:rPr>
                <w:sz w:val="18"/>
              </w:rPr>
              <w:t>✓ Excellent</w:t>
            </w:r>
          </w:p>
        </w:tc>
      </w:tr>
      <w:tr>
        <w:tc>
          <w:tcPr>
            <w:tcW w:type="dxa" w:w="1814"/>
            <w:shd w:val="clear" w:color="auto" w:fill="FFFFFF"/>
          </w:tcPr>
          <w:p>
            <w:pPr>
              <w:spacing w:before="60" w:after="60"/>
            </w:pPr>
            <w:r>
              <w:rPr>
                <w:sz w:val="18"/>
              </w:rPr>
              <w:t>Traced Product (ppm)</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91.921</w:t>
            </w:r>
          </w:p>
        </w:tc>
        <w:tc>
          <w:tcPr>
            <w:tcW w:type="dxa" w:w="850"/>
            <w:shd w:val="clear" w:color="auto" w:fill="FFFFFF"/>
          </w:tcPr>
          <w:p>
            <w:pPr>
              <w:spacing w:before="60" w:after="60"/>
            </w:pPr>
            <w:r>
              <w:rPr>
                <w:sz w:val="18"/>
              </w:rPr>
              <w:t>10.177</w:t>
            </w:r>
          </w:p>
        </w:tc>
        <w:tc>
          <w:tcPr>
            <w:tcW w:type="dxa" w:w="794"/>
            <w:shd w:val="clear" w:color="auto" w:fill="FFFFFF"/>
          </w:tcPr>
          <w:p>
            <w:pPr>
              <w:spacing w:before="60" w:after="60"/>
            </w:pPr>
            <w:r>
              <w:rPr>
                <w:sz w:val="18"/>
              </w:rPr>
              <w:t>78.792</w:t>
            </w:r>
          </w:p>
        </w:tc>
        <w:tc>
          <w:tcPr>
            <w:tcW w:type="dxa" w:w="794"/>
            <w:shd w:val="clear" w:color="auto" w:fill="FFFFFF"/>
          </w:tcPr>
          <w:p>
            <w:pPr>
              <w:spacing w:before="60" w:after="60"/>
            </w:pPr>
            <w:r>
              <w:rPr>
                <w:sz w:val="18"/>
              </w:rPr>
              <w:t>274.838</w:t>
            </w:r>
          </w:p>
        </w:tc>
        <w:tc>
          <w:tcPr>
            <w:tcW w:type="dxa" w:w="964"/>
            <w:shd w:val="clear" w:color="auto" w:fill="FFFFFF"/>
          </w:tcPr>
          <w:p>
            <w:pPr>
              <w:spacing w:before="60" w:after="60"/>
            </w:pPr>
            <w:r>
              <w:rPr>
                <w:sz w:val="18"/>
              </w:rPr>
              <w:t>82.0</w:t>
            </w:r>
          </w:p>
        </w:tc>
        <w:tc>
          <w:tcPr>
            <w:tcW w:type="dxa" w:w="964"/>
            <w:shd w:val="clear" w:color="auto" w:fill="FFFFFF"/>
          </w:tcPr>
          <w:p>
            <w:pPr>
              <w:spacing w:before="60" w:after="60"/>
            </w:pPr>
            <w:r>
              <w:rPr>
                <w:sz w:val="18"/>
              </w:rPr>
              <w:t>88.0</w:t>
            </w:r>
          </w:p>
        </w:tc>
        <w:tc>
          <w:tcPr>
            <w:tcW w:type="dxa" w:w="1020"/>
            <w:shd w:val="clear" w:color="auto" w:fill="FFFFFF"/>
          </w:tcPr>
          <w:p>
            <w:pPr>
              <w:spacing w:before="60" w:after="60"/>
            </w:pPr>
            <w:r>
              <w:rPr>
                <w:sz w:val="18"/>
              </w:rPr>
              <w:t>41.3%</w:t>
            </w:r>
          </w:p>
        </w:tc>
        <w:tc>
          <w:tcPr>
            <w:tcW w:type="dxa" w:w="1247"/>
            <w:shd w:val="clear" w:color="auto" w:fill="FFFFFF"/>
          </w:tcPr>
          <w:p>
            <w:pPr>
              <w:spacing w:before="60" w:after="60"/>
            </w:pPr>
            <w:r>
              <w:rPr>
                <w:sz w:val="18"/>
              </w:rPr>
              <w:t>⚠ Acceptable</w:t>
            </w:r>
          </w:p>
        </w:tc>
      </w:tr>
      <w:tr>
        <w:tc>
          <w:tcPr>
            <w:tcW w:type="dxa" w:w="1814"/>
            <w:shd w:val="clear" w:color="auto" w:fill="F2F8F7"/>
          </w:tcPr>
          <w:p>
            <w:pPr>
              <w:spacing w:before="60" w:after="60"/>
            </w:pPr>
            <w:r>
              <w:rPr>
                <w:sz w:val="18"/>
              </w:rPr>
              <w:t>Conductivity (µS/cm)</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890.606</w:t>
            </w:r>
          </w:p>
        </w:tc>
        <w:tc>
          <w:tcPr>
            <w:tcW w:type="dxa" w:w="850"/>
            <w:shd w:val="clear" w:color="auto" w:fill="F2F8F7"/>
          </w:tcPr>
          <w:p>
            <w:pPr>
              <w:spacing w:before="60" w:after="60"/>
            </w:pPr>
            <w:r>
              <w:rPr>
                <w:sz w:val="18"/>
              </w:rPr>
              <w:t>44.201</w:t>
            </w:r>
          </w:p>
        </w:tc>
        <w:tc>
          <w:tcPr>
            <w:tcW w:type="dxa" w:w="794"/>
            <w:shd w:val="clear" w:color="auto" w:fill="F2F8F7"/>
          </w:tcPr>
          <w:p>
            <w:pPr>
              <w:spacing w:before="60" w:after="60"/>
            </w:pPr>
            <w:r>
              <w:rPr>
                <w:sz w:val="18"/>
              </w:rPr>
              <w:t>453.220</w:t>
            </w:r>
          </w:p>
        </w:tc>
        <w:tc>
          <w:tcPr>
            <w:tcW w:type="dxa" w:w="794"/>
            <w:shd w:val="clear" w:color="auto" w:fill="F2F8F7"/>
          </w:tcPr>
          <w:p>
            <w:pPr>
              <w:spacing w:before="60" w:after="60"/>
            </w:pPr>
            <w:r>
              <w:rPr>
                <w:sz w:val="18"/>
              </w:rPr>
              <w:t>988.564</w:t>
            </w:r>
          </w:p>
        </w:tc>
        <w:tc>
          <w:tcPr>
            <w:tcW w:type="dxa" w:w="964"/>
            <w:shd w:val="clear" w:color="auto" w:fill="F2F8F7"/>
          </w:tcPr>
          <w:p>
            <w:pPr>
              <w:spacing w:before="60" w:after="60"/>
            </w:pPr>
            <w:r>
              <w:rPr>
                <w:sz w:val="18"/>
              </w:rPr>
              <w:t>930</w:t>
            </w:r>
          </w:p>
        </w:tc>
        <w:tc>
          <w:tcPr>
            <w:tcW w:type="dxa" w:w="964"/>
            <w:shd w:val="clear" w:color="auto" w:fill="F2F8F7"/>
          </w:tcPr>
          <w:p>
            <w:pPr>
              <w:spacing w:before="60" w:after="60"/>
            </w:pPr>
            <w:r>
              <w:rPr>
                <w:sz w:val="18"/>
              </w:rPr>
              <w:t>970</w:t>
            </w:r>
          </w:p>
        </w:tc>
        <w:tc>
          <w:tcPr>
            <w:tcW w:type="dxa" w:w="1020"/>
            <w:shd w:val="clear" w:color="auto" w:fill="F2F8F7"/>
          </w:tcPr>
          <w:p>
            <w:pPr>
              <w:spacing w:before="60" w:after="60"/>
            </w:pPr>
            <w:r>
              <w:rPr>
                <w:sz w:val="18"/>
              </w:rPr>
              <w:t>20.2%</w:t>
            </w:r>
          </w:p>
        </w:tc>
        <w:tc>
          <w:tcPr>
            <w:tcW w:type="dxa" w:w="1247"/>
            <w:shd w:val="clear" w:color="auto" w:fill="F2F8F7"/>
          </w:tcPr>
          <w:p>
            <w:pPr>
              <w:spacing w:before="60" w:after="60"/>
            </w:pPr>
            <w:r>
              <w:rPr>
                <w:sz w:val="18"/>
              </w:rPr>
              <w:t>✗ Critical</w:t>
            </w:r>
          </w:p>
        </w:tc>
      </w:tr>
      <w:tr>
        <w:tc>
          <w:tcPr>
            <w:tcW w:type="dxa" w:w="1814"/>
            <w:shd w:val="clear" w:color="auto" w:fill="FFFFFF"/>
          </w:tcPr>
          <w:p>
            <w:pPr>
              <w:spacing w:before="60" w:after="60"/>
            </w:pPr>
            <w:r>
              <w:rPr>
                <w:sz w:val="18"/>
              </w:rPr>
              <w:t>pH</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8.455</w:t>
            </w:r>
          </w:p>
        </w:tc>
        <w:tc>
          <w:tcPr>
            <w:tcW w:type="dxa" w:w="850"/>
            <w:shd w:val="clear" w:color="auto" w:fill="FFFFFF"/>
          </w:tcPr>
          <w:p>
            <w:pPr>
              <w:spacing w:before="60" w:after="60"/>
            </w:pPr>
            <w:r>
              <w:rPr>
                <w:sz w:val="18"/>
              </w:rPr>
              <w:t>0.256</w:t>
            </w:r>
          </w:p>
        </w:tc>
        <w:tc>
          <w:tcPr>
            <w:tcW w:type="dxa" w:w="794"/>
            <w:shd w:val="clear" w:color="auto" w:fill="FFFFFF"/>
          </w:tcPr>
          <w:p>
            <w:pPr>
              <w:spacing w:before="60" w:after="60"/>
            </w:pPr>
            <w:r>
              <w:rPr>
                <w:sz w:val="18"/>
              </w:rPr>
              <w:t>7.458</w:t>
            </w:r>
          </w:p>
        </w:tc>
        <w:tc>
          <w:tcPr>
            <w:tcW w:type="dxa" w:w="794"/>
            <w:shd w:val="clear" w:color="auto" w:fill="FFFFFF"/>
          </w:tcPr>
          <w:p>
            <w:pPr>
              <w:spacing w:before="60" w:after="60"/>
            </w:pPr>
            <w:r>
              <w:rPr>
                <w:sz w:val="18"/>
              </w:rPr>
              <w:t>8.914</w:t>
            </w:r>
          </w:p>
        </w:tc>
        <w:tc>
          <w:tcPr>
            <w:tcW w:type="dxa" w:w="964"/>
            <w:shd w:val="clear" w:color="auto" w:fill="FFFFFF"/>
          </w:tcPr>
          <w:p>
            <w:pPr>
              <w:spacing w:before="60" w:after="60"/>
            </w:pPr>
            <w:r>
              <w:rPr>
                <w:sz w:val="18"/>
              </w:rPr>
              <w:t>7.50</w:t>
            </w:r>
          </w:p>
        </w:tc>
        <w:tc>
          <w:tcPr>
            <w:tcW w:type="dxa" w:w="964"/>
            <w:shd w:val="clear" w:color="auto" w:fill="FFFFFF"/>
          </w:tcPr>
          <w:p>
            <w:pPr>
              <w:spacing w:before="60" w:after="60"/>
            </w:pPr>
            <w:r>
              <w:rPr>
                <w:sz w:val="18"/>
              </w:rPr>
              <w:t>10.00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ORP (mV)</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549.451</w:t>
            </w:r>
          </w:p>
        </w:tc>
        <w:tc>
          <w:tcPr>
            <w:tcW w:type="dxa" w:w="850"/>
            <w:shd w:val="clear" w:color="auto" w:fill="F2F8F7"/>
          </w:tcPr>
          <w:p>
            <w:pPr>
              <w:spacing w:before="60" w:after="60"/>
            </w:pPr>
            <w:r>
              <w:rPr>
                <w:sz w:val="18"/>
              </w:rPr>
              <w:t>152.851</w:t>
            </w:r>
          </w:p>
        </w:tc>
        <w:tc>
          <w:tcPr>
            <w:tcW w:type="dxa" w:w="794"/>
            <w:shd w:val="clear" w:color="auto" w:fill="F2F8F7"/>
          </w:tcPr>
          <w:p>
            <w:pPr>
              <w:spacing w:before="60" w:after="60"/>
            </w:pPr>
            <w:r>
              <w:rPr>
                <w:sz w:val="18"/>
              </w:rPr>
              <w:t>78.917</w:t>
            </w:r>
          </w:p>
        </w:tc>
        <w:tc>
          <w:tcPr>
            <w:tcW w:type="dxa" w:w="794"/>
            <w:shd w:val="clear" w:color="auto" w:fill="F2F8F7"/>
          </w:tcPr>
          <w:p>
            <w:pPr>
              <w:spacing w:before="60" w:after="60"/>
            </w:pPr>
            <w:r>
              <w:rPr>
                <w:sz w:val="18"/>
              </w:rPr>
              <w:t>819.747</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See chart</w:t>
            </w:r>
          </w:p>
        </w:tc>
      </w:tr>
      <w:tr>
        <w:tc>
          <w:tcPr>
            <w:tcW w:type="dxa" w:w="1814"/>
            <w:shd w:val="clear" w:color="auto" w:fill="FFFFFF"/>
          </w:tcPr>
          <w:p>
            <w:pPr>
              <w:spacing w:before="60" w:after="60"/>
            </w:pPr>
            <w:r>
              <w:rPr>
                <w:sz w:val="18"/>
              </w:rPr>
              <w:t>Turbidity (NTU)</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3.160</w:t>
            </w:r>
          </w:p>
        </w:tc>
        <w:tc>
          <w:tcPr>
            <w:tcW w:type="dxa" w:w="850"/>
            <w:shd w:val="clear" w:color="auto" w:fill="FFFFFF"/>
          </w:tcPr>
          <w:p>
            <w:pPr>
              <w:spacing w:before="60" w:after="60"/>
            </w:pPr>
            <w:r>
              <w:rPr>
                <w:sz w:val="18"/>
              </w:rPr>
              <w:t>1.191</w:t>
            </w:r>
          </w:p>
        </w:tc>
        <w:tc>
          <w:tcPr>
            <w:tcW w:type="dxa" w:w="794"/>
            <w:shd w:val="clear" w:color="auto" w:fill="FFFFFF"/>
          </w:tcPr>
          <w:p>
            <w:pPr>
              <w:spacing w:before="60" w:after="60"/>
            </w:pPr>
            <w:r>
              <w:rPr>
                <w:sz w:val="18"/>
              </w:rPr>
              <w:t>1.643</w:t>
            </w:r>
          </w:p>
        </w:tc>
        <w:tc>
          <w:tcPr>
            <w:tcW w:type="dxa" w:w="794"/>
            <w:shd w:val="clear" w:color="auto" w:fill="FFFFFF"/>
          </w:tcPr>
          <w:p>
            <w:pPr>
              <w:spacing w:before="60" w:after="60"/>
            </w:pPr>
            <w:r>
              <w:rPr>
                <w:sz w:val="18"/>
              </w:rPr>
              <w:t>38.197</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75.0</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Cell Fouling (%)</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15.129</w:t>
            </w:r>
          </w:p>
        </w:tc>
        <w:tc>
          <w:tcPr>
            <w:tcW w:type="dxa" w:w="850"/>
            <w:shd w:val="clear" w:color="auto" w:fill="F2F8F7"/>
          </w:tcPr>
          <w:p>
            <w:pPr>
              <w:spacing w:before="60" w:after="60"/>
            </w:pPr>
            <w:r>
              <w:rPr>
                <w:sz w:val="18"/>
              </w:rPr>
              <w:t>3.677</w:t>
            </w:r>
          </w:p>
        </w:tc>
        <w:tc>
          <w:tcPr>
            <w:tcW w:type="dxa" w:w="794"/>
            <w:shd w:val="clear" w:color="auto" w:fill="F2F8F7"/>
          </w:tcPr>
          <w:p>
            <w:pPr>
              <w:spacing w:before="60" w:after="60"/>
            </w:pPr>
            <w:r>
              <w:rPr>
                <w:sz w:val="18"/>
              </w:rPr>
              <w:t>10.370</w:t>
            </w:r>
          </w:p>
        </w:tc>
        <w:tc>
          <w:tcPr>
            <w:tcW w:type="dxa" w:w="794"/>
            <w:shd w:val="clear" w:color="auto" w:fill="F2F8F7"/>
          </w:tcPr>
          <w:p>
            <w:pPr>
              <w:spacing w:before="60" w:after="60"/>
            </w:pPr>
            <w:r>
              <w:rPr>
                <w:sz w:val="18"/>
              </w:rPr>
              <w:t>23.008</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30.0</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ℹ Info</w:t>
            </w:r>
          </w:p>
        </w:tc>
      </w:tr>
      <w:tr>
        <w:tc>
          <w:tcPr>
            <w:tcW w:type="dxa" w:w="1814"/>
            <w:shd w:val="clear" w:color="auto" w:fill="FFFFFF"/>
          </w:tcPr>
          <w:p>
            <w:pPr>
              <w:spacing w:before="60" w:after="60"/>
            </w:pPr>
            <w:r>
              <w:rPr>
                <w:sz w:val="18"/>
              </w:rPr>
              <w:t>FRC</w:t>
            </w:r>
          </w:p>
        </w:tc>
        <w:tc>
          <w:tcPr>
            <w:tcW w:type="dxa" w:w="1247"/>
            <w:shd w:val="clear" w:color="auto" w:fill="FFFFFF"/>
          </w:tcPr>
          <w:p>
            <w:pPr>
              <w:spacing w:before="60" w:after="60"/>
            </w:pPr>
            <w:r>
              <w:rPr>
                <w:sz w:val="18"/>
              </w:rPr>
              <w:t>Field Data</w:t>
            </w:r>
          </w:p>
        </w:tc>
        <w:tc>
          <w:tcPr>
            <w:tcW w:type="dxa" w:w="850"/>
            <w:shd w:val="clear" w:color="auto" w:fill="FFFFFF"/>
          </w:tcPr>
          <w:p>
            <w:pPr>
              <w:spacing w:before="60" w:after="60"/>
            </w:pPr>
            <w:r>
              <w:rPr>
                <w:sz w:val="18"/>
              </w:rPr>
              <w:t>Not avail.</w:t>
            </w:r>
          </w:p>
        </w:tc>
        <w:tc>
          <w:tcPr>
            <w:tcW w:type="dxa" w:w="850"/>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 Check</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68696"/>
            <wp:docPr id="1" name="Picture 1"/>
            <wp:cNvGraphicFramePr>
              <a:graphicFrameLocks noChangeAspect="1"/>
            </wp:cNvGraphicFramePr>
            <a:graphic>
              <a:graphicData uri="http://schemas.openxmlformats.org/drawingml/2006/picture">
                <pic:pic>
                  <pic:nvPicPr>
                    <pic:cNvPr id="0" name="flowserve_us_raleigh_nc_us_july_2026_corrosion.png"/>
                    <pic:cNvPicPr/>
                  </pic:nvPicPr>
                  <pic:blipFill>
                    <a:blip r:embed="rId11"/>
                    <a:stretch>
                      <a:fillRect/>
                    </a:stretch>
                  </pic:blipFill>
                  <pic:spPr>
                    <a:xfrm>
                      <a:off x="0" y="0"/>
                      <a:ext cx="5486400" cy="2568696"/>
                    </a:xfrm>
                    <a:prstGeom prst="rect"/>
                  </pic:spPr>
                </pic:pic>
              </a:graphicData>
            </a:graphic>
          </wp:inline>
        </w:drawing>
      </w:r>
    </w:p>
    <w:p>
      <w:pPr>
        <w:spacing w:after="120"/>
        <w:jc w:val="center"/>
      </w:pPr>
      <w:r>
        <w:rPr>
          <w:i/>
          <w:color w:val="444444"/>
          <w:sz w:val="17"/>
        </w:rPr>
        <w:t>Figure 1: Corrosion Rate — July 2026</w:t>
      </w:r>
    </w:p>
    <w:p>
      <w:pPr>
        <w:spacing w:before="40" w:after="200"/>
      </w:pPr>
      <w:r>
        <w:rPr>
          <w:b/>
          <w:i/>
          <w:color w:val="333333"/>
          <w:sz w:val="19"/>
        </w:rPr>
        <w:t xml:space="preserve">Comment: </w:t>
      </w:r>
      <w:r>
        <w:rPr>
          <w:i/>
          <w:color w:val="333333"/>
          <w:sz w:val="19"/>
        </w:rPr>
        <w:t>Pattern: corrosion control is decreasing, but remains good against the target.</w:t>
      </w:r>
      <w:r>
        <w:br/>
      </w:r>
      <w:r>
        <w:rPr>
          <w:i/>
          <w:color w:val="333333"/>
          <w:sz w:val="19"/>
        </w:rPr>
        <w:t>Mild steel corrosion decreased across the month, while copper corrosion decreased across the month.</w:t>
      </w:r>
      <w:r>
        <w:br/>
      </w:r>
      <w:r>
        <w:rPr>
          <w:i/>
          <w:color w:val="333333"/>
          <w:sz w:val="19"/>
        </w:rPr>
        <w:t>MS was within the 3.0 MPY target, and Cu was within the 0.5 MPY target.</w:t>
      </w:r>
      <w:r>
        <w:br/>
      </w:r>
      <w:r>
        <w:rPr>
          <w:i/>
          <w:color w:val="333333"/>
          <w:sz w:val="19"/>
        </w:rPr>
        <w:t>This graph means corrosion protection remains acceptable when both traces stay below target limits.</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68696"/>
            <wp:docPr id="2" name="Picture 2"/>
            <wp:cNvGraphicFramePr>
              <a:graphicFrameLocks noChangeAspect="1"/>
            </wp:cNvGraphicFramePr>
            <a:graphic>
              <a:graphicData uri="http://schemas.openxmlformats.org/drawingml/2006/picture">
                <pic:pic>
                  <pic:nvPicPr>
                    <pic:cNvPr id="0" name="flowserve_us_raleigh_nc_us_july_2026_traced_product.png"/>
                    <pic:cNvPicPr/>
                  </pic:nvPicPr>
                  <pic:blipFill>
                    <a:blip r:embed="rId12"/>
                    <a:stretch>
                      <a:fillRect/>
                    </a:stretch>
                  </pic:blipFill>
                  <pic:spPr>
                    <a:xfrm>
                      <a:off x="0" y="0"/>
                      <a:ext cx="5486400" cy="2568696"/>
                    </a:xfrm>
                    <a:prstGeom prst="rect"/>
                  </pic:spPr>
                </pic:pic>
              </a:graphicData>
            </a:graphic>
          </wp:inline>
        </w:drawing>
      </w:r>
    </w:p>
    <w:p>
      <w:pPr>
        <w:spacing w:after="120"/>
        <w:jc w:val="center"/>
      </w:pPr>
      <w:r>
        <w:rPr>
          <w:i/>
          <w:color w:val="444444"/>
          <w:sz w:val="17"/>
        </w:rPr>
        <w:t>Figure 2: Traced Product — July 2026</w:t>
      </w:r>
    </w:p>
    <w:p>
      <w:pPr>
        <w:spacing w:before="40" w:after="200"/>
      </w:pPr>
      <w:r>
        <w:rPr>
          <w:b/>
          <w:i/>
          <w:color w:val="333333"/>
          <w:sz w:val="19"/>
        </w:rPr>
        <w:t xml:space="preserve">Comment: </w:t>
      </w:r>
      <w:r>
        <w:rPr>
          <w:i/>
          <w:color w:val="333333"/>
          <w:sz w:val="19"/>
        </w:rPr>
        <w:t>Pattern: Traced Product is decreasing and needs attention against the target.</w:t>
      </w:r>
      <w:r>
        <w:br/>
      </w:r>
      <w:r>
        <w:rPr>
          <w:i/>
          <w:color w:val="333333"/>
          <w:sz w:val="19"/>
        </w:rPr>
        <w:t>The trend moved from about 92.9 ppm at the start to 90.9 ppm at the end.</w:t>
      </w:r>
      <w:r>
        <w:br/>
      </w:r>
      <w:r>
        <w:rPr>
          <w:i/>
          <w:color w:val="333333"/>
          <w:sz w:val="19"/>
        </w:rPr>
        <w:t>The Traced Product average was above the configured range. The monthly in-range performance was 41.3%.</w:t>
      </w:r>
      <w:r>
        <w:br/>
      </w:r>
      <w:r>
        <w:rPr>
          <w:i/>
          <w:color w:val="333333"/>
          <w:sz w:val="19"/>
        </w:rPr>
        <w:t>This graph shows whether feed control is holding the setpoint band or drifting toward field review.</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70877"/>
            <wp:docPr id="3" name="Picture 3"/>
            <wp:cNvGraphicFramePr>
              <a:graphicFrameLocks noChangeAspect="1"/>
            </wp:cNvGraphicFramePr>
            <a:graphic>
              <a:graphicData uri="http://schemas.openxmlformats.org/drawingml/2006/picture">
                <pic:pic>
                  <pic:nvPicPr>
                    <pic:cNvPr id="0" name="flowserve_us_raleigh_nc_us_july_2026_orp_corrosion.png"/>
                    <pic:cNvPicPr/>
                  </pic:nvPicPr>
                  <pic:blipFill>
                    <a:blip r:embed="rId13"/>
                    <a:stretch>
                      <a:fillRect/>
                    </a:stretch>
                  </pic:blipFill>
                  <pic:spPr>
                    <a:xfrm>
                      <a:off x="0" y="0"/>
                      <a:ext cx="5486400" cy="2570877"/>
                    </a:xfrm>
                    <a:prstGeom prst="rect"/>
                  </pic:spPr>
                </pic:pic>
              </a:graphicData>
            </a:graphic>
          </wp:inline>
        </w:drawing>
      </w:r>
    </w:p>
    <w:p>
      <w:pPr>
        <w:spacing w:after="120"/>
        <w:jc w:val="center"/>
      </w:pPr>
      <w:r>
        <w:rPr>
          <w:i/>
          <w:color w:val="444444"/>
          <w:sz w:val="17"/>
        </w:rPr>
        <w:t>Figure 3: ORP vs Copper Corrosion Rate — July 2026</w:t>
      </w:r>
    </w:p>
    <w:p>
      <w:pPr>
        <w:spacing w:before="40" w:after="200"/>
      </w:pPr>
      <w:r>
        <w:rPr>
          <w:b/>
          <w:i/>
          <w:color w:val="333333"/>
          <w:sz w:val="19"/>
        </w:rPr>
        <w:t xml:space="preserve">Comment: </w:t>
      </w:r>
      <w:r>
        <w:rPr>
          <w:i/>
          <w:color w:val="333333"/>
          <w:sz w:val="19"/>
        </w:rPr>
        <w:t>Pattern: ORP response is increasing across the month.</w:t>
      </w:r>
      <w:r>
        <w:br/>
      </w:r>
      <w:r>
        <w:rPr>
          <w:i/>
          <w:color w:val="333333"/>
          <w:sz w:val="19"/>
        </w:rPr>
        <w:t>ORP showed a visible spike response pattern during the month without relying on absolute ORP values.</w:t>
      </w:r>
      <w:r>
        <w:br/>
      </w:r>
      <w:r>
        <w:rPr>
          <w:i/>
          <w:color w:val="333333"/>
          <w:sz w:val="19"/>
        </w:rPr>
        <w:t>Copper corrosion decreased across the month while the ORP pattern changed.</w:t>
      </w:r>
      <w:r>
        <w:br/>
      </w:r>
      <w:r>
        <w:rPr>
          <w:i/>
          <w:color w:val="333333"/>
          <w:sz w:val="19"/>
        </w:rPr>
        <w:t>This graph remains good when biocide response is visible and copper corrosion stays controlled.</w:t>
      </w:r>
    </w:p>
    <w:p>
      <w:pPr>
        <w:spacing w:before="200" w:after="60"/>
      </w:pPr>
      <w:r>
        <w:rPr>
          <w:b/>
          <w:color w:val="005F58"/>
          <w:sz w:val="26"/>
        </w:rPr>
        <w:t>Oxidizing Biocide Pump Relay vs Copper Corrosion</w:t>
      </w:r>
    </w:p>
    <w:p>
      <w:pPr>
        <w:jc w:val="center"/>
      </w:pPr>
      <w:r>
        <w:drawing>
          <wp:inline xmlns:a="http://schemas.openxmlformats.org/drawingml/2006/main" xmlns:pic="http://schemas.openxmlformats.org/drawingml/2006/picture">
            <wp:extent cx="5486400" cy="2568696"/>
            <wp:docPr id="4" name="Picture 4"/>
            <wp:cNvGraphicFramePr>
              <a:graphicFrameLocks noChangeAspect="1"/>
            </wp:cNvGraphicFramePr>
            <a:graphic>
              <a:graphicData uri="http://schemas.openxmlformats.org/drawingml/2006/picture">
                <pic:pic>
                  <pic:nvPicPr>
                    <pic:cNvPr id="0" name="flowserve_us_raleigh_nc_us_july_2026_biocide_corrosion.png"/>
                    <pic:cNvPicPr/>
                  </pic:nvPicPr>
                  <pic:blipFill>
                    <a:blip r:embed="rId14"/>
                    <a:stretch>
                      <a:fillRect/>
                    </a:stretch>
                  </pic:blipFill>
                  <pic:spPr>
                    <a:xfrm>
                      <a:off x="0" y="0"/>
                      <a:ext cx="5486400" cy="2568696"/>
                    </a:xfrm>
                    <a:prstGeom prst="rect"/>
                  </pic:spPr>
                </pic:pic>
              </a:graphicData>
            </a:graphic>
          </wp:inline>
        </w:drawing>
      </w:r>
    </w:p>
    <w:p>
      <w:pPr>
        <w:spacing w:after="120"/>
        <w:jc w:val="center"/>
      </w:pPr>
      <w:r>
        <w:rPr>
          <w:i/>
          <w:color w:val="444444"/>
          <w:sz w:val="17"/>
        </w:rPr>
        <w:t>Figure 4: Oxidizing Biocide Pump Relay vs Copper Corrosion — July 2026</w:t>
      </w:r>
    </w:p>
    <w:p>
      <w:pPr>
        <w:spacing w:before="40" w:after="200"/>
      </w:pPr>
      <w:r>
        <w:rPr>
          <w:b/>
          <w:i/>
          <w:color w:val="333333"/>
          <w:sz w:val="19"/>
        </w:rPr>
        <w:t xml:space="preserve">Comment: </w:t>
      </w:r>
      <w:r>
        <w:rPr>
          <w:i/>
          <w:color w:val="333333"/>
          <w:sz w:val="19"/>
        </w:rPr>
        <w:t>Pattern: biocide feed versus copper corrosion is decreasing, but remains good against the target.</w:t>
      </w:r>
      <w:r>
        <w:br/>
      </w:r>
      <w:r>
        <w:rPr>
          <w:i/>
          <w:color w:val="333333"/>
          <w:sz w:val="19"/>
        </w:rPr>
        <w:t>Biocide relay activity was present in the monthly trend.</w:t>
      </w:r>
      <w:r>
        <w:br/>
      </w:r>
      <w:r>
        <w:rPr>
          <w:i/>
          <w:color w:val="333333"/>
          <w:sz w:val="19"/>
        </w:rPr>
        <w:t>Relay activity increased across the month when the month is split into early and late periods.</w:t>
      </w:r>
      <w:r>
        <w:br/>
      </w:r>
      <w:r>
        <w:rPr>
          <w:i/>
          <w:color w:val="333333"/>
          <w:sz w:val="19"/>
        </w:rPr>
        <w:t>This graph shows whether feed timing is supporting stable corrosion control during biocide operation.</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66519"/>
            <wp:docPr id="5" name="Picture 5"/>
            <wp:cNvGraphicFramePr>
              <a:graphicFrameLocks noChangeAspect="1"/>
            </wp:cNvGraphicFramePr>
            <a:graphic>
              <a:graphicData uri="http://schemas.openxmlformats.org/drawingml/2006/picture">
                <pic:pic>
                  <pic:nvPicPr>
                    <pic:cNvPr id="0" name="flowserve_us_raleigh_nc_us_july_2026_conductivity.png"/>
                    <pic:cNvPicPr/>
                  </pic:nvPicPr>
                  <pic:blipFill>
                    <a:blip r:embed="rId15"/>
                    <a:stretch>
                      <a:fillRect/>
                    </a:stretch>
                  </pic:blipFill>
                  <pic:spPr>
                    <a:xfrm>
                      <a:off x="0" y="0"/>
                      <a:ext cx="5486400" cy="2566519"/>
                    </a:xfrm>
                    <a:prstGeom prst="rect"/>
                  </pic:spPr>
                </pic:pic>
              </a:graphicData>
            </a:graphic>
          </wp:inline>
        </w:drawing>
      </w:r>
    </w:p>
    <w:p>
      <w:pPr>
        <w:spacing w:after="120"/>
        <w:jc w:val="center"/>
      </w:pPr>
      <w:r>
        <w:rPr>
          <w:i/>
          <w:color w:val="444444"/>
          <w:sz w:val="17"/>
        </w:rPr>
        <w:t>Figure 5: Electrode Conductivity — July 2026</w:t>
      </w:r>
    </w:p>
    <w:p>
      <w:pPr>
        <w:spacing w:before="40" w:after="200"/>
      </w:pPr>
      <w:r>
        <w:rPr>
          <w:b/>
          <w:i/>
          <w:color w:val="333333"/>
          <w:sz w:val="19"/>
        </w:rPr>
        <w:t xml:space="preserve">Comment: </w:t>
      </w:r>
      <w:r>
        <w:rPr>
          <w:i/>
          <w:color w:val="333333"/>
          <w:sz w:val="19"/>
        </w:rPr>
        <w:t>Pattern: conductivity is decreasing and needs attention against the target.</w:t>
      </w:r>
      <w:r>
        <w:br/>
      </w:r>
      <w:r>
        <w:rPr>
          <w:i/>
          <w:color w:val="333333"/>
          <w:sz w:val="19"/>
        </w:rPr>
        <w:t>The trend moved from about 896.8 µS/cm at the start to 884.5 µS/cm at the end.</w:t>
      </w:r>
      <w:r>
        <w:br/>
      </w:r>
      <w:r>
        <w:rPr>
          <w:i/>
          <w:color w:val="333333"/>
          <w:sz w:val="19"/>
        </w:rPr>
        <w:t>The conductivity average was below the configured range. The monthly in-range performance was 20.2%.</w:t>
      </w:r>
      <w:r>
        <w:br/>
      </w:r>
      <w:r>
        <w:rPr>
          <w:i/>
          <w:color w:val="333333"/>
          <w:sz w:val="19"/>
        </w:rPr>
        <w:t>This graph shows whether cycles, makeup, blowdown, or dilution behavior remained under control.</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Flowserve US Raleigh NC maintained good corrosion control during July 2026, while scale control and product efficiency should continue to be reviewed because Traced Product was above the SCC range for part of the month. Conductivity control requires attention due to low in-range performance, and FRC should be measured during the upcoming service visit to confirm microbial control.</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Flowserve US Raleigh NC (US)  |  July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