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60"/>
        <w:jc w:val="center"/>
      </w:pPr>
      <w:r>
        <w:rPr>
          <w:b/>
          <w:i w:val="0"/>
          <w:color w:val="444444"/>
          <w:sz w:val="20"/>
        </w:rPr>
        <w:t>BUCKMAN DIGITAL WATER</w:t>
      </w:r>
    </w:p>
    <w:p>
      <w:pPr>
        <w:spacing w:before="60" w:after="60"/>
        <w:jc w:val="center"/>
      </w:pPr>
      <w:r>
        <w:rPr>
          <w:b/>
          <w:i w:val="0"/>
          <w:sz w:val="40"/>
        </w:rPr>
        <w:t>Monthly Cooling Water Performance Report</w:t>
      </w:r>
    </w:p>
    <w:p>
      <w:pPr>
        <w:spacing w:before="60" w:after="200"/>
        <w:jc w:val="center"/>
      </w:pPr>
      <w:r>
        <w:rPr>
          <w:b/>
          <w:i w:val="0"/>
          <w:color w:val="00857C"/>
          <w:sz w:val="30"/>
        </w:rPr>
        <w:t>Flowserve US Raleigh NC (US)</w:t>
      </w:r>
    </w:p>
    <w:p>
      <w:pPr>
        <w:spacing w:before="60" w:after="360"/>
        <w:jc w:val="center"/>
      </w:pPr>
      <w:r>
        <w:rPr>
          <w:b w:val="0"/>
          <w:i w:val="0"/>
          <w:color w:val="444444"/>
          <w:sz w:val="20"/>
        </w:rPr>
        <w:t>Reporting Month: July 2026</w:t>
      </w:r>
    </w:p>
    <w:tbl>
      <w:tblPr>
        <w:tblStyle w:val="TableGrid"/>
        <w:tblW w:type="auto" w:w="0"/>
        <w:tblLook w:firstColumn="1" w:firstRow="1" w:lastColumn="0" w:lastRow="0" w:noHBand="0" w:noVBand="1" w:val="04A0"/>
      </w:tblPr>
      <w:tblGrid>
        <w:gridCol w:w="2521"/>
        <w:gridCol w:w="2521"/>
        <w:gridCol w:w="2521"/>
        <w:gridCol w:w="2521"/>
      </w:tblGrid>
      <w:tr>
        <w:tc>
          <w:tcPr>
            <w:tcW w:type="dxa" w:w="3118"/>
            <w:shd w:val="clear" w:color="auto" w:fill="00857C"/>
          </w:tcPr>
          <w:p>
            <w:pPr>
              <w:spacing w:before="60" w:after="60"/>
            </w:pPr>
            <w:r>
              <w:rPr>
                <w:b/>
                <w:color w:val="FFFFFF"/>
                <w:sz w:val="18"/>
              </w:rPr>
              <w:t>Customer / Site</w:t>
            </w:r>
          </w:p>
        </w:tc>
        <w:tc>
          <w:tcPr>
            <w:tcW w:type="dxa" w:w="1701"/>
            <w:shd w:val="clear" w:color="auto" w:fill="00857C"/>
          </w:tcPr>
          <w:p>
            <w:pPr>
              <w:spacing w:before="60" w:after="60"/>
            </w:pPr>
            <w:r>
              <w:rPr>
                <w:b/>
                <w:color w:val="FFFFFF"/>
                <w:sz w:val="18"/>
              </w:rPr>
              <w:t>System</w:t>
            </w:r>
          </w:p>
        </w:tc>
        <w:tc>
          <w:tcPr>
            <w:tcW w:type="dxa" w:w="1984"/>
            <w:shd w:val="clear" w:color="auto" w:fill="00857C"/>
          </w:tcPr>
          <w:p>
            <w:pPr>
              <w:spacing w:before="60" w:after="60"/>
            </w:pPr>
            <w:r>
              <w:rPr>
                <w:b/>
                <w:color w:val="FFFFFF"/>
                <w:sz w:val="18"/>
              </w:rPr>
              <w:t>Controller</w:t>
            </w:r>
          </w:p>
        </w:tc>
        <w:tc>
          <w:tcPr>
            <w:tcW w:type="dxa" w:w="2551"/>
            <w:shd w:val="clear" w:color="auto" w:fill="00857C"/>
          </w:tcPr>
          <w:p>
            <w:pPr>
              <w:spacing w:before="60" w:after="60"/>
            </w:pPr>
            <w:r>
              <w:rPr>
                <w:b/>
                <w:color w:val="FFFFFF"/>
                <w:sz w:val="18"/>
              </w:rPr>
              <w:t>Prepared For</w:t>
            </w:r>
          </w:p>
        </w:tc>
      </w:tr>
      <w:tr>
        <w:tc>
          <w:tcPr>
            <w:tcW w:type="dxa" w:w="3118"/>
            <w:shd w:val="clear" w:color="auto" w:fill="FFFFFF"/>
          </w:tcPr>
          <w:p>
            <w:pPr>
              <w:spacing w:before="60" w:after="60"/>
            </w:pPr>
            <w:r>
              <w:rPr>
                <w:sz w:val="18"/>
              </w:rPr>
              <w:t>Flowserve US Raleigh NC (US)</w:t>
            </w:r>
          </w:p>
        </w:tc>
        <w:tc>
          <w:tcPr>
            <w:tcW w:type="dxa" w:w="1701"/>
            <w:shd w:val="clear" w:color="auto" w:fill="FFFFFF"/>
          </w:tcPr>
          <w:p>
            <w:pPr>
              <w:spacing w:before="60" w:after="60"/>
            </w:pPr>
            <w:r>
              <w:rPr>
                <w:sz w:val="18"/>
              </w:rPr>
              <w:t>Cooling Tower</w:t>
            </w:r>
          </w:p>
        </w:tc>
        <w:tc>
          <w:tcPr>
            <w:tcW w:type="dxa" w:w="1984"/>
            <w:shd w:val="clear" w:color="auto" w:fill="FFFFFF"/>
          </w:tcPr>
          <w:p>
            <w:pPr>
              <w:spacing w:before="60" w:after="60"/>
            </w:pPr>
            <w:r>
              <w:rPr>
                <w:sz w:val="18"/>
              </w:rPr>
              <w:t>84253F5EE1C9</w:t>
            </w:r>
          </w:p>
        </w:tc>
        <w:tc>
          <w:tcPr>
            <w:tcW w:type="dxa" w:w="2551"/>
            <w:shd w:val="clear" w:color="auto" w:fill="FFFFFF"/>
          </w:tcPr>
          <w:p>
            <w:pPr>
              <w:spacing w:before="60" w:after="60"/>
            </w:pPr>
            <w:r>
              <w:rPr>
                <w:sz w:val="18"/>
              </w:rPr>
              <w:t>Monthly Performance Review</w:t>
            </w:r>
          </w:p>
        </w:tc>
      </w:tr>
    </w:tbl>
    <w:p/>
    <w:p>
      <w:pPr>
        <w:spacing w:before="200" w:after="120"/>
        <w:jc w:val="left"/>
      </w:pPr>
    </w:p>
    <w:p>
      <w:pPr>
        <w:spacing w:before="80" w:after="120"/>
        <w:jc w:val="center"/>
      </w:pPr>
      <w:r>
        <w:rPr>
          <w:b w:val="0"/>
          <w:i w:val="0"/>
          <w:color w:val="444444"/>
          <w:sz w:val="19"/>
        </w:rPr>
        <w:t>This report summarises corrosion control, scale control, microbial control, water efficiency, product efficiency, and proactive system support for Flowserve US Raleigh NC (US), July 2026, using controller setpoints, telemetry KPIs, field data, and service note records.</w:t>
      </w:r>
    </w:p>
    <w:p>
      <w:pPr>
        <w:spacing w:before="200" w:after="120"/>
        <w:jc w:val="left"/>
      </w:pPr>
    </w:p>
    <w:tbl>
      <w:tblPr>
        <w:tblStyle w:val="TableGrid"/>
        <w:tblW w:type="auto" w:w="0"/>
        <w:tblLook w:firstColumn="1" w:firstRow="1" w:lastColumn="0" w:lastRow="0" w:noHBand="0" w:noVBand="1" w:val="04A0"/>
      </w:tblPr>
      <w:tblGrid>
        <w:gridCol w:w="3362"/>
        <w:gridCol w:w="3362"/>
        <w:gridCol w:w="3362"/>
      </w:tblGrid>
      <w:tr>
        <w:tc>
          <w:tcPr>
            <w:tcW w:type="dxa" w:w="3118"/>
            <w:shd w:val="clear" w:color="auto" w:fill="00857C"/>
          </w:tcPr>
          <w:p>
            <w:pPr>
              <w:spacing w:before="60" w:after="60"/>
            </w:pPr>
            <w:r>
              <w:rPr>
                <w:b/>
                <w:color w:val="FFFFFF"/>
                <w:sz w:val="18"/>
              </w:rPr>
              <w:t>Prepared By</w:t>
            </w:r>
          </w:p>
        </w:tc>
        <w:tc>
          <w:tcPr>
            <w:tcW w:type="dxa" w:w="2835"/>
            <w:shd w:val="clear" w:color="auto" w:fill="00857C"/>
          </w:tcPr>
          <w:p>
            <w:pPr>
              <w:spacing w:before="60" w:after="60"/>
            </w:pPr>
            <w:r>
              <w:rPr>
                <w:b/>
                <w:color w:val="FFFFFF"/>
                <w:sz w:val="18"/>
              </w:rPr>
              <w:t>Prepared Date</w:t>
            </w:r>
          </w:p>
        </w:tc>
        <w:tc>
          <w:tcPr>
            <w:tcW w:type="dxa" w:w="3402"/>
            <w:shd w:val="clear" w:color="auto" w:fill="00857C"/>
          </w:tcPr>
          <w:p>
            <w:pPr>
              <w:spacing w:before="60" w:after="60"/>
            </w:pPr>
            <w:r>
              <w:rPr>
                <w:b/>
                <w:color w:val="FFFFFF"/>
                <w:sz w:val="18"/>
              </w:rPr>
              <w:t>Report Status</w:t>
            </w:r>
          </w:p>
        </w:tc>
      </w:tr>
      <w:tr>
        <w:tc>
          <w:tcPr>
            <w:tcW w:type="dxa" w:w="3118"/>
            <w:shd w:val="clear" w:color="auto" w:fill="FFFFFF"/>
          </w:tcPr>
          <w:p>
            <w:pPr>
              <w:spacing w:before="60" w:after="60"/>
            </w:pPr>
            <w:r>
              <w:rPr>
                <w:sz w:val="18"/>
              </w:rPr>
              <w:t>Buckman Digital Water</w:t>
            </w:r>
          </w:p>
        </w:tc>
        <w:tc>
          <w:tcPr>
            <w:tcW w:type="dxa" w:w="2835"/>
            <w:shd w:val="clear" w:color="auto" w:fill="FFFFFF"/>
          </w:tcPr>
          <w:p>
            <w:pPr>
              <w:spacing w:before="60" w:after="60"/>
            </w:pPr>
            <w:r>
              <w:rPr>
                <w:sz w:val="18"/>
              </w:rPr>
              <w:t>12 August 2026</w:t>
            </w:r>
          </w:p>
        </w:tc>
        <w:tc>
          <w:tcPr>
            <w:tcW w:type="dxa" w:w="3402"/>
            <w:shd w:val="clear" w:color="auto" w:fill="FFFFFF"/>
          </w:tcPr>
          <w:p>
            <w:pPr>
              <w:spacing w:before="60" w:after="60"/>
            </w:pPr>
            <w:r>
              <w:rPr>
                <w:sz w:val="18"/>
              </w:rPr>
              <w:t>Draft</w:t>
            </w:r>
          </w:p>
        </w:tc>
      </w:tr>
    </w:tbl>
    <w:p/>
    <w:p>
      <w:r>
        <w:br w:type="page"/>
      </w:r>
    </w:p>
    <w:p>
      <w:pPr>
        <w:pBdr>
          <w:bottom w:val="single" w:sz="8" w:space="4" w:color="00857C"/>
        </w:pBdr>
        <w:spacing w:before="280" w:after="80"/>
      </w:pPr>
      <w:r>
        <w:rPr>
          <w:b/>
          <w:color w:val="00857C"/>
          <w:sz w:val="32"/>
        </w:rPr>
        <w:t>Executive Summary</w:t>
      </w:r>
    </w:p>
    <w:p>
      <w:pPr>
        <w:spacing w:before="200" w:after="60"/>
      </w:pPr>
      <w:r>
        <w:rPr>
          <w:b/>
          <w:color w:val="005F58"/>
          <w:sz w:val="26"/>
        </w:rPr>
        <w:t>System Health Check</w:t>
      </w:r>
    </w:p>
    <w:p>
      <w:pPr>
        <w:spacing w:before="160" w:after="40"/>
      </w:pPr>
      <w:r>
        <w:rPr>
          <w:b/>
          <w:color w:val="222222"/>
          <w:sz w:val="22"/>
        </w:rPr>
        <w:t>Corrosion Control</w:t>
      </w:r>
    </w:p>
    <w:p>
      <w:pPr>
        <w:spacing w:before="60" w:after="100"/>
      </w:pPr>
      <w:r>
        <w:rPr>
          <w:b/>
          <w:sz w:val="20"/>
        </w:rPr>
        <w:t xml:space="preserve">Status: </w:t>
      </w:r>
      <w:r>
        <w:rPr>
          <w:b/>
          <w:color w:val="00857C"/>
          <w:sz w:val="20"/>
        </w:rPr>
        <w:t>Excellent</w:t>
      </w:r>
    </w:p>
    <w:p>
      <w:pPr>
        <w:spacing w:before="80" w:after="120"/>
        <w:jc w:val="left"/>
      </w:pPr>
      <w:r>
        <w:rPr>
          <w:b w:val="0"/>
          <w:i w:val="0"/>
          <w:sz w:val="20"/>
        </w:rPr>
        <w:t>The average mild steel corrosion rate was 1.10 MPY against the target of within 3.0 MPY, and the average copper corrosion rate was 0.0250 MPY against the target of within 0.5 MPY. Both corrosion indicators were maintained within the required control targets for the July reporting period, supporting excellent asset preservation for the cooling water system.</w:t>
      </w:r>
    </w:p>
    <w:p>
      <w:pPr>
        <w:spacing w:before="160" w:after="40"/>
      </w:pPr>
      <w:r>
        <w:rPr>
          <w:b/>
          <w:color w:val="222222"/>
          <w:sz w:val="22"/>
        </w:rPr>
        <w:t>Scale Control</w:t>
      </w:r>
    </w:p>
    <w:p>
      <w:pPr>
        <w:spacing w:before="60" w:after="100"/>
      </w:pPr>
      <w:r>
        <w:rPr>
          <w:b/>
          <w:sz w:val="20"/>
        </w:rPr>
        <w:t xml:space="preserve">Status: </w:t>
      </w:r>
      <w:r>
        <w:rPr>
          <w:b/>
          <w:color w:val="B8860B"/>
          <w:sz w:val="20"/>
        </w:rPr>
        <w:t>Acceptable</w:t>
      </w:r>
    </w:p>
    <w:p>
      <w:pPr>
        <w:spacing w:before="80" w:after="120"/>
        <w:jc w:val="left"/>
      </w:pPr>
      <w:r>
        <w:rPr>
          <w:b w:val="0"/>
          <w:i w:val="0"/>
          <w:sz w:val="20"/>
        </w:rPr>
        <w:t>Traced Product was within the Controller Setpoint control range for 41.3% of the reporting month. Polymer consumption rate averaged 64.3% and decreased from 64.6% at the start of the month to 64.3% at the end of the month. The product was higher than target during the initial part of the month and moved closer to the control band later, but end-of-month control was 52.4% within range, so it is not yet consistently maintained well. The end-of-month traced product deviation from setpoint is minimal, so the control logic will be optimised. Conductivity was below its setpoint configuration range for most of the same period, so water loss, dilution, or blowdown/makeup behavior should be inspected during the upcoming service visit.</w:t>
      </w:r>
    </w:p>
    <w:p>
      <w:pPr>
        <w:spacing w:before="160" w:after="40"/>
      </w:pPr>
      <w:r>
        <w:rPr>
          <w:b/>
          <w:color w:val="222222"/>
          <w:sz w:val="22"/>
        </w:rPr>
        <w:t>Microbial Control</w:t>
      </w:r>
    </w:p>
    <w:p>
      <w:pPr>
        <w:spacing w:before="60" w:after="100"/>
      </w:pPr>
      <w:r>
        <w:rPr>
          <w:b/>
          <w:sz w:val="20"/>
        </w:rPr>
        <w:t xml:space="preserve">Status: </w:t>
      </w:r>
      <w:r>
        <w:rPr>
          <w:b/>
          <w:color w:val="B8860B"/>
          <w:sz w:val="20"/>
        </w:rPr>
        <w:t>Acceptable</w:t>
      </w:r>
    </w:p>
    <w:p>
      <w:pPr>
        <w:spacing w:before="80" w:after="120"/>
        <w:jc w:val="left"/>
      </w:pPr>
      <w:r>
        <w:rPr>
          <w:b w:val="0"/>
          <w:i w:val="0"/>
          <w:sz w:val="20"/>
        </w:rPr>
        <w:t>FRC data was not available in the MDE data for this reporting period and will be checked during the upcoming service visit. ORP spike response after biocide feed was consistent, indicating the slug dosage of biocide is successful.</w:t>
      </w:r>
    </w:p>
    <w:p>
      <w:pPr>
        <w:spacing w:before="80" w:after="120"/>
        <w:jc w:val="left"/>
      </w:pPr>
      <w:r>
        <w:rPr>
          <w:b w:val="0"/>
          <w:i w:val="0"/>
          <w:sz w:val="20"/>
        </w:rPr>
        <w:t>Dip-slide analysis was not available for this reporting period and will be measured during the upcoming service visit.</w:t>
      </w:r>
    </w:p>
    <w:p>
      <w:pPr>
        <w:spacing w:before="200" w:after="60"/>
      </w:pPr>
      <w:r>
        <w:rPr>
          <w:b/>
          <w:color w:val="005F58"/>
          <w:sz w:val="26"/>
        </w:rPr>
        <w:t>Water Efficiency</w:t>
      </w:r>
    </w:p>
    <w:p>
      <w:pPr>
        <w:spacing w:before="80" w:after="120"/>
        <w:jc w:val="left"/>
      </w:pPr>
      <w:r>
        <w:rPr>
          <w:b w:val="0"/>
          <w:i w:val="0"/>
          <w:sz w:val="20"/>
        </w:rPr>
        <w:t>Makeup water conductivity is not available for this site. Actual cycles of concentration cannot be calculated. Makeup conductivity should be captured at the next service visit.</w:t>
      </w:r>
    </w:p>
    <w:p>
      <w:pPr>
        <w:spacing w:before="80" w:after="120"/>
        <w:jc w:val="left"/>
      </w:pPr>
      <w:r>
        <w:rPr>
          <w:b w:val="0"/>
          <w:i w:val="0"/>
          <w:sz w:val="20"/>
        </w:rPr>
        <w:t>Conductivity averaged 890.6 uS/cm against the SCC range of 930-970 uS/cm, with 20.2% of July readings maintained within range. Makeup conductivity was not available, so current COC and target COC could not be calculated; this will be reviewed when makeup conductivity data is available. Because conductivity was below the control range for much of the period, possible water loss, makeup/blowdown behavior, or dilution should be inspected during the upcoming service visit.</w:t>
      </w:r>
    </w:p>
    <w:p>
      <w:pPr>
        <w:spacing w:before="200" w:after="60"/>
      </w:pPr>
      <w:r>
        <w:rPr>
          <w:b/>
          <w:color w:val="005F58"/>
          <w:sz w:val="26"/>
        </w:rPr>
        <w:t>Product Efficiency</w:t>
      </w:r>
    </w:p>
    <w:p>
      <w:pPr>
        <w:spacing w:before="60" w:after="100"/>
      </w:pPr>
      <w:r>
        <w:rPr>
          <w:b/>
          <w:sz w:val="20"/>
        </w:rPr>
        <w:t xml:space="preserve">Status: </w:t>
      </w:r>
      <w:r>
        <w:rPr>
          <w:b/>
          <w:color w:val="B8860B"/>
          <w:sz w:val="20"/>
        </w:rPr>
        <w:t>Acceptable</w:t>
      </w:r>
    </w:p>
    <w:p>
      <w:pPr>
        <w:spacing w:before="80" w:after="120"/>
        <w:jc w:val="left"/>
      </w:pPr>
      <w:r>
        <w:rPr>
          <w:b w:val="0"/>
          <w:i w:val="0"/>
          <w:sz w:val="20"/>
        </w:rPr>
        <w:t>Traced Product was 41.3% within the SCC control range, and actual product consumption data was not available for direct comparison with target consumption. Product efficiency should be reviewed by checking calibration, feed settings, and pump operation, then comparing actual consumption once usage data is available.</w:t>
      </w:r>
    </w:p>
    <w:p>
      <w:pPr>
        <w:spacing w:before="200" w:after="60"/>
      </w:pPr>
      <w:r>
        <w:rPr>
          <w:b/>
          <w:color w:val="005F58"/>
          <w:sz w:val="26"/>
        </w:rPr>
        <w:t>Proactive System Support</w:t>
      </w:r>
    </w:p>
    <w:p>
      <w:pPr>
        <w:spacing w:before="80" w:after="120"/>
        <w:jc w:val="left"/>
      </w:pPr>
      <w:r>
        <w:rPr>
          <w:b w:val="0"/>
          <w:i w:val="0"/>
          <w:sz w:val="20"/>
        </w:rPr>
        <w:t>No service notes were recorded for this reporting period. The main proactive follow-up items are to verify Traced Product feed and fluorometer calibration, review conductivity control and water balance, and collect FRC during the next service visit.</w:t>
      </w:r>
    </w:p>
    <w:p>
      <w:r>
        <w:br w:type="page"/>
      </w:r>
    </w:p>
    <w:p>
      <w:pPr>
        <w:pBdr>
          <w:bottom w:val="single" w:sz="8" w:space="4" w:color="00857C"/>
        </w:pBdr>
        <w:spacing w:before="280" w:after="80"/>
      </w:pPr>
      <w:r>
        <w:rPr>
          <w:b/>
          <w:color w:val="00857C"/>
          <w:sz w:val="32"/>
        </w:rPr>
        <w:t>Performance Summary</w:t>
      </w:r>
    </w:p>
    <w:p>
      <w:pPr>
        <w:spacing w:before="80" w:after="120"/>
        <w:jc w:val="left"/>
      </w:pPr>
      <w:r>
        <w:rPr>
          <w:b w:val="0"/>
          <w:i/>
          <w:color w:val="444444"/>
          <w:sz w:val="18"/>
        </w:rPr>
        <w:t>Controller Setpoints are used as control limits below. % In Range is calculated from the full reporting month telemetry.</w:t>
      </w:r>
    </w:p>
    <w:tbl>
      <w:tblPr>
        <w:tblStyle w:val="TableGrid"/>
        <w:tblW w:type="auto" w:w="0"/>
        <w:tblLook w:firstColumn="1" w:firstRow="1" w:lastColumn="0" w:lastRow="0" w:noHBand="0" w:noVBand="1" w:val="04A0"/>
      </w:tblPr>
      <w:tblGrid>
        <w:gridCol w:w="1009"/>
        <w:gridCol w:w="1009"/>
        <w:gridCol w:w="1009"/>
        <w:gridCol w:w="1009"/>
        <w:gridCol w:w="1009"/>
        <w:gridCol w:w="1009"/>
        <w:gridCol w:w="1009"/>
        <w:gridCol w:w="1009"/>
        <w:gridCol w:w="1009"/>
        <w:gridCol w:w="1009"/>
      </w:tblGrid>
      <w:tr>
        <w:tc>
          <w:tcPr>
            <w:tcW w:type="dxa" w:w="1814"/>
            <w:shd w:val="clear" w:color="auto" w:fill="00857C"/>
          </w:tcPr>
          <w:p>
            <w:pPr>
              <w:spacing w:before="60" w:after="60"/>
            </w:pPr>
            <w:r>
              <w:rPr>
                <w:b/>
                <w:color w:val="FFFFFF"/>
                <w:sz w:val="18"/>
              </w:rPr>
              <w:t>Parameter</w:t>
            </w:r>
          </w:p>
        </w:tc>
        <w:tc>
          <w:tcPr>
            <w:tcW w:type="dxa" w:w="1247"/>
            <w:shd w:val="clear" w:color="auto" w:fill="00857C"/>
          </w:tcPr>
          <w:p>
            <w:pPr>
              <w:spacing w:before="60" w:after="60"/>
            </w:pPr>
            <w:r>
              <w:rPr>
                <w:b/>
                <w:color w:val="FFFFFF"/>
                <w:sz w:val="18"/>
              </w:rPr>
              <w:t>Context Point</w:t>
            </w:r>
          </w:p>
        </w:tc>
        <w:tc>
          <w:tcPr>
            <w:tcW w:type="dxa" w:w="850"/>
            <w:shd w:val="clear" w:color="auto" w:fill="00857C"/>
          </w:tcPr>
          <w:p>
            <w:pPr>
              <w:spacing w:before="60" w:after="60"/>
            </w:pPr>
            <w:r>
              <w:rPr>
                <w:b/>
                <w:color w:val="FFFFFF"/>
                <w:sz w:val="18"/>
              </w:rPr>
              <w:t>Average</w:t>
            </w:r>
          </w:p>
        </w:tc>
        <w:tc>
          <w:tcPr>
            <w:tcW w:type="dxa" w:w="850"/>
            <w:shd w:val="clear" w:color="auto" w:fill="00857C"/>
          </w:tcPr>
          <w:p>
            <w:pPr>
              <w:spacing w:before="60" w:after="60"/>
            </w:pPr>
            <w:r>
              <w:rPr>
                <w:b/>
                <w:color w:val="FFFFFF"/>
                <w:sz w:val="18"/>
              </w:rPr>
              <w:t>Std Dev</w:t>
            </w:r>
          </w:p>
        </w:tc>
        <w:tc>
          <w:tcPr>
            <w:tcW w:type="dxa" w:w="794"/>
            <w:shd w:val="clear" w:color="auto" w:fill="00857C"/>
          </w:tcPr>
          <w:p>
            <w:pPr>
              <w:spacing w:before="60" w:after="60"/>
            </w:pPr>
            <w:r>
              <w:rPr>
                <w:b/>
                <w:color w:val="FFFFFF"/>
                <w:sz w:val="18"/>
              </w:rPr>
              <w:t>Min</w:t>
            </w:r>
          </w:p>
        </w:tc>
        <w:tc>
          <w:tcPr>
            <w:tcW w:type="dxa" w:w="794"/>
            <w:shd w:val="clear" w:color="auto" w:fill="00857C"/>
          </w:tcPr>
          <w:p>
            <w:pPr>
              <w:spacing w:before="60" w:after="60"/>
            </w:pPr>
            <w:r>
              <w:rPr>
                <w:b/>
                <w:color w:val="FFFFFF"/>
                <w:sz w:val="18"/>
              </w:rPr>
              <w:t>Max</w:t>
            </w:r>
          </w:p>
        </w:tc>
        <w:tc>
          <w:tcPr>
            <w:tcW w:type="dxa" w:w="964"/>
            <w:shd w:val="clear" w:color="auto" w:fill="00857C"/>
          </w:tcPr>
          <w:p>
            <w:pPr>
              <w:spacing w:before="60" w:after="60"/>
            </w:pPr>
            <w:r>
              <w:rPr>
                <w:b/>
                <w:color w:val="FFFFFF"/>
                <w:sz w:val="18"/>
              </w:rPr>
              <w:t>Lower Limit</w:t>
            </w:r>
          </w:p>
        </w:tc>
        <w:tc>
          <w:tcPr>
            <w:tcW w:type="dxa" w:w="964"/>
            <w:shd w:val="clear" w:color="auto" w:fill="00857C"/>
          </w:tcPr>
          <w:p>
            <w:pPr>
              <w:spacing w:before="60" w:after="60"/>
            </w:pPr>
            <w:r>
              <w:rPr>
                <w:b/>
                <w:color w:val="FFFFFF"/>
                <w:sz w:val="18"/>
              </w:rPr>
              <w:t>Upper Limit</w:t>
            </w:r>
          </w:p>
        </w:tc>
        <w:tc>
          <w:tcPr>
            <w:tcW w:type="dxa" w:w="1020"/>
            <w:shd w:val="clear" w:color="auto" w:fill="00857C"/>
          </w:tcPr>
          <w:p>
            <w:pPr>
              <w:spacing w:before="60" w:after="60"/>
            </w:pPr>
            <w:r>
              <w:rPr>
                <w:b/>
                <w:color w:val="FFFFFF"/>
                <w:sz w:val="18"/>
              </w:rPr>
              <w:t>% In Range</w:t>
            </w:r>
          </w:p>
        </w:tc>
        <w:tc>
          <w:tcPr>
            <w:tcW w:type="dxa" w:w="1247"/>
            <w:shd w:val="clear" w:color="auto" w:fill="00857C"/>
          </w:tcPr>
          <w:p>
            <w:pPr>
              <w:spacing w:before="60" w:after="60"/>
            </w:pPr>
            <w:r>
              <w:rPr>
                <w:b/>
                <w:color w:val="FFFFFF"/>
                <w:sz w:val="18"/>
              </w:rPr>
              <w:t>Status</w:t>
            </w:r>
          </w:p>
        </w:tc>
      </w:tr>
      <w:tr>
        <w:tc>
          <w:tcPr>
            <w:tcW w:type="dxa" w:w="1814"/>
            <w:shd w:val="clear" w:color="auto" w:fill="FFFFFF"/>
          </w:tcPr>
          <w:p>
            <w:pPr>
              <w:spacing w:before="60" w:after="60"/>
            </w:pPr>
            <w:r>
              <w:rPr>
                <w:sz w:val="18"/>
              </w:rPr>
              <w:t>Corrosion – MS (MPY)</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1.102</w:t>
            </w:r>
          </w:p>
        </w:tc>
        <w:tc>
          <w:tcPr>
            <w:tcW w:type="dxa" w:w="850"/>
            <w:shd w:val="clear" w:color="auto" w:fill="FFFFFF"/>
          </w:tcPr>
          <w:p>
            <w:pPr>
              <w:spacing w:before="60" w:after="60"/>
            </w:pPr>
            <w:r>
              <w:rPr>
                <w:sz w:val="18"/>
              </w:rPr>
              <w:t>0.688</w:t>
            </w:r>
          </w:p>
        </w:tc>
        <w:tc>
          <w:tcPr>
            <w:tcW w:type="dxa" w:w="794"/>
            <w:shd w:val="clear" w:color="auto" w:fill="FFFFFF"/>
          </w:tcPr>
          <w:p>
            <w:pPr>
              <w:spacing w:before="60" w:after="60"/>
            </w:pPr>
            <w:r>
              <w:rPr>
                <w:sz w:val="18"/>
              </w:rPr>
              <w:t>0.247</w:t>
            </w:r>
          </w:p>
        </w:tc>
        <w:tc>
          <w:tcPr>
            <w:tcW w:type="dxa" w:w="794"/>
            <w:shd w:val="clear" w:color="auto" w:fill="FFFFFF"/>
          </w:tcPr>
          <w:p>
            <w:pPr>
              <w:spacing w:before="60" w:after="60"/>
            </w:pPr>
            <w:r>
              <w:rPr>
                <w:sz w:val="18"/>
              </w:rPr>
              <w:t>2.818</w:t>
            </w:r>
          </w:p>
        </w:tc>
        <w:tc>
          <w:tcPr>
            <w:tcW w:type="dxa" w:w="964"/>
            <w:shd w:val="clear" w:color="auto" w:fill="FFFFFF"/>
          </w:tcPr>
          <w:p>
            <w:pPr>
              <w:spacing w:before="60" w:after="60"/>
            </w:pPr>
            <w:r>
              <w:rPr>
                <w:sz w:val="18"/>
              </w:rPr>
              <w:t>0.00</w:t>
            </w:r>
          </w:p>
        </w:tc>
        <w:tc>
          <w:tcPr>
            <w:tcW w:type="dxa" w:w="964"/>
            <w:shd w:val="clear" w:color="auto" w:fill="FFFFFF"/>
          </w:tcPr>
          <w:p>
            <w:pPr>
              <w:spacing w:before="60" w:after="60"/>
            </w:pPr>
            <w:r>
              <w:rPr>
                <w:sz w:val="18"/>
              </w:rPr>
              <w:t>3.00</w:t>
            </w:r>
          </w:p>
        </w:tc>
        <w:tc>
          <w:tcPr>
            <w:tcW w:type="dxa" w:w="1020"/>
            <w:shd w:val="clear" w:color="auto" w:fill="FFFFFF"/>
          </w:tcPr>
          <w:p>
            <w:pPr>
              <w:spacing w:before="60" w:after="60"/>
            </w:pPr>
            <w:r>
              <w:rPr>
                <w:sz w:val="18"/>
              </w:rPr>
              <w:t>100.0%</w:t>
            </w:r>
          </w:p>
        </w:tc>
        <w:tc>
          <w:tcPr>
            <w:tcW w:type="dxa" w:w="1247"/>
            <w:shd w:val="clear" w:color="auto" w:fill="FFFFFF"/>
          </w:tcPr>
          <w:p>
            <w:pPr>
              <w:spacing w:before="60" w:after="60"/>
            </w:pPr>
            <w:r>
              <w:rPr>
                <w:sz w:val="18"/>
              </w:rPr>
              <w:t>✓ Excellent</w:t>
            </w:r>
          </w:p>
        </w:tc>
      </w:tr>
      <w:tr>
        <w:tc>
          <w:tcPr>
            <w:tcW w:type="dxa" w:w="1814"/>
            <w:shd w:val="clear" w:color="auto" w:fill="F2F8F7"/>
          </w:tcPr>
          <w:p>
            <w:pPr>
              <w:spacing w:before="60" w:after="60"/>
            </w:pPr>
            <w:r>
              <w:rPr>
                <w:sz w:val="18"/>
              </w:rPr>
              <w:t>Corrosion – Cu (MPY)</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0.025</w:t>
            </w:r>
          </w:p>
        </w:tc>
        <w:tc>
          <w:tcPr>
            <w:tcW w:type="dxa" w:w="850"/>
            <w:shd w:val="clear" w:color="auto" w:fill="F2F8F7"/>
          </w:tcPr>
          <w:p>
            <w:pPr>
              <w:spacing w:before="60" w:after="60"/>
            </w:pPr>
            <w:r>
              <w:rPr>
                <w:sz w:val="18"/>
              </w:rPr>
              <w:t>0.143</w:t>
            </w:r>
          </w:p>
        </w:tc>
        <w:tc>
          <w:tcPr>
            <w:tcW w:type="dxa" w:w="794"/>
            <w:shd w:val="clear" w:color="auto" w:fill="F2F8F7"/>
          </w:tcPr>
          <w:p>
            <w:pPr>
              <w:spacing w:before="60" w:after="60"/>
            </w:pPr>
            <w:r>
              <w:rPr>
                <w:sz w:val="18"/>
              </w:rPr>
              <w:t>0.010</w:t>
            </w:r>
          </w:p>
        </w:tc>
        <w:tc>
          <w:tcPr>
            <w:tcW w:type="dxa" w:w="794"/>
            <w:shd w:val="clear" w:color="auto" w:fill="F2F8F7"/>
          </w:tcPr>
          <w:p>
            <w:pPr>
              <w:spacing w:before="60" w:after="60"/>
            </w:pPr>
            <w:r>
              <w:rPr>
                <w:sz w:val="18"/>
              </w:rPr>
              <w:t>3.308</w:t>
            </w:r>
          </w:p>
        </w:tc>
        <w:tc>
          <w:tcPr>
            <w:tcW w:type="dxa" w:w="964"/>
            <w:shd w:val="clear" w:color="auto" w:fill="F2F8F7"/>
          </w:tcPr>
          <w:p>
            <w:pPr>
              <w:spacing w:before="60" w:after="60"/>
            </w:pPr>
            <w:r>
              <w:rPr>
                <w:sz w:val="18"/>
              </w:rPr>
              <w:t>0.00</w:t>
            </w:r>
          </w:p>
        </w:tc>
        <w:tc>
          <w:tcPr>
            <w:tcW w:type="dxa" w:w="964"/>
            <w:shd w:val="clear" w:color="auto" w:fill="F2F8F7"/>
          </w:tcPr>
          <w:p>
            <w:pPr>
              <w:spacing w:before="60" w:after="60"/>
            </w:pPr>
            <w:r>
              <w:rPr>
                <w:sz w:val="18"/>
              </w:rPr>
              <w:t>0.50</w:t>
            </w:r>
          </w:p>
        </w:tc>
        <w:tc>
          <w:tcPr>
            <w:tcW w:type="dxa" w:w="1020"/>
            <w:shd w:val="clear" w:color="auto" w:fill="F2F8F7"/>
          </w:tcPr>
          <w:p>
            <w:pPr>
              <w:spacing w:before="60" w:after="60"/>
            </w:pPr>
            <w:r>
              <w:rPr>
                <w:sz w:val="18"/>
              </w:rPr>
              <w:t>99.8%</w:t>
            </w:r>
          </w:p>
        </w:tc>
        <w:tc>
          <w:tcPr>
            <w:tcW w:type="dxa" w:w="1247"/>
            <w:shd w:val="clear" w:color="auto" w:fill="F2F8F7"/>
          </w:tcPr>
          <w:p>
            <w:pPr>
              <w:spacing w:before="60" w:after="60"/>
            </w:pPr>
            <w:r>
              <w:rPr>
                <w:sz w:val="18"/>
              </w:rPr>
              <w:t>✓ Excellent</w:t>
            </w:r>
          </w:p>
        </w:tc>
      </w:tr>
      <w:tr>
        <w:tc>
          <w:tcPr>
            <w:tcW w:type="dxa" w:w="1814"/>
            <w:shd w:val="clear" w:color="auto" w:fill="FFFFFF"/>
          </w:tcPr>
          <w:p>
            <w:pPr>
              <w:spacing w:before="60" w:after="60"/>
            </w:pPr>
            <w:r>
              <w:rPr>
                <w:sz w:val="18"/>
              </w:rPr>
              <w:t>Traced Product (ppm)</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91.921</w:t>
            </w:r>
          </w:p>
        </w:tc>
        <w:tc>
          <w:tcPr>
            <w:tcW w:type="dxa" w:w="850"/>
            <w:shd w:val="clear" w:color="auto" w:fill="FFFFFF"/>
          </w:tcPr>
          <w:p>
            <w:pPr>
              <w:spacing w:before="60" w:after="60"/>
            </w:pPr>
            <w:r>
              <w:rPr>
                <w:sz w:val="18"/>
              </w:rPr>
              <w:t>10.177</w:t>
            </w:r>
          </w:p>
        </w:tc>
        <w:tc>
          <w:tcPr>
            <w:tcW w:type="dxa" w:w="794"/>
            <w:shd w:val="clear" w:color="auto" w:fill="FFFFFF"/>
          </w:tcPr>
          <w:p>
            <w:pPr>
              <w:spacing w:before="60" w:after="60"/>
            </w:pPr>
            <w:r>
              <w:rPr>
                <w:sz w:val="18"/>
              </w:rPr>
              <w:t>78.792</w:t>
            </w:r>
          </w:p>
        </w:tc>
        <w:tc>
          <w:tcPr>
            <w:tcW w:type="dxa" w:w="794"/>
            <w:shd w:val="clear" w:color="auto" w:fill="FFFFFF"/>
          </w:tcPr>
          <w:p>
            <w:pPr>
              <w:spacing w:before="60" w:after="60"/>
            </w:pPr>
            <w:r>
              <w:rPr>
                <w:sz w:val="18"/>
              </w:rPr>
              <w:t>274.838</w:t>
            </w:r>
          </w:p>
        </w:tc>
        <w:tc>
          <w:tcPr>
            <w:tcW w:type="dxa" w:w="964"/>
            <w:shd w:val="clear" w:color="auto" w:fill="FFFFFF"/>
          </w:tcPr>
          <w:p>
            <w:pPr>
              <w:spacing w:before="60" w:after="60"/>
            </w:pPr>
            <w:r>
              <w:rPr>
                <w:sz w:val="18"/>
              </w:rPr>
              <w:t>82.0</w:t>
            </w:r>
          </w:p>
        </w:tc>
        <w:tc>
          <w:tcPr>
            <w:tcW w:type="dxa" w:w="964"/>
            <w:shd w:val="clear" w:color="auto" w:fill="FFFFFF"/>
          </w:tcPr>
          <w:p>
            <w:pPr>
              <w:spacing w:before="60" w:after="60"/>
            </w:pPr>
            <w:r>
              <w:rPr>
                <w:sz w:val="18"/>
              </w:rPr>
              <w:t>88.0</w:t>
            </w:r>
          </w:p>
        </w:tc>
        <w:tc>
          <w:tcPr>
            <w:tcW w:type="dxa" w:w="1020"/>
            <w:shd w:val="clear" w:color="auto" w:fill="FFFFFF"/>
          </w:tcPr>
          <w:p>
            <w:pPr>
              <w:spacing w:before="60" w:after="60"/>
            </w:pPr>
            <w:r>
              <w:rPr>
                <w:sz w:val="18"/>
              </w:rPr>
              <w:t>41.3%</w:t>
            </w:r>
          </w:p>
        </w:tc>
        <w:tc>
          <w:tcPr>
            <w:tcW w:type="dxa" w:w="1247"/>
            <w:shd w:val="clear" w:color="auto" w:fill="FFFFFF"/>
          </w:tcPr>
          <w:p>
            <w:pPr>
              <w:spacing w:before="60" w:after="60"/>
            </w:pPr>
            <w:r>
              <w:rPr>
                <w:sz w:val="18"/>
              </w:rPr>
              <w:t>⚠ Acceptable</w:t>
            </w:r>
          </w:p>
        </w:tc>
      </w:tr>
      <w:tr>
        <w:tc>
          <w:tcPr>
            <w:tcW w:type="dxa" w:w="1814"/>
            <w:shd w:val="clear" w:color="auto" w:fill="F2F8F7"/>
          </w:tcPr>
          <w:p>
            <w:pPr>
              <w:spacing w:before="60" w:after="60"/>
            </w:pPr>
            <w:r>
              <w:rPr>
                <w:sz w:val="18"/>
              </w:rPr>
              <w:t>Conductivity (µS/cm)</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890.606</w:t>
            </w:r>
          </w:p>
        </w:tc>
        <w:tc>
          <w:tcPr>
            <w:tcW w:type="dxa" w:w="850"/>
            <w:shd w:val="clear" w:color="auto" w:fill="F2F8F7"/>
          </w:tcPr>
          <w:p>
            <w:pPr>
              <w:spacing w:before="60" w:after="60"/>
            </w:pPr>
            <w:r>
              <w:rPr>
                <w:sz w:val="18"/>
              </w:rPr>
              <w:t>44.201</w:t>
            </w:r>
          </w:p>
        </w:tc>
        <w:tc>
          <w:tcPr>
            <w:tcW w:type="dxa" w:w="794"/>
            <w:shd w:val="clear" w:color="auto" w:fill="F2F8F7"/>
          </w:tcPr>
          <w:p>
            <w:pPr>
              <w:spacing w:before="60" w:after="60"/>
            </w:pPr>
            <w:r>
              <w:rPr>
                <w:sz w:val="18"/>
              </w:rPr>
              <w:t>453.220</w:t>
            </w:r>
          </w:p>
        </w:tc>
        <w:tc>
          <w:tcPr>
            <w:tcW w:type="dxa" w:w="794"/>
            <w:shd w:val="clear" w:color="auto" w:fill="F2F8F7"/>
          </w:tcPr>
          <w:p>
            <w:pPr>
              <w:spacing w:before="60" w:after="60"/>
            </w:pPr>
            <w:r>
              <w:rPr>
                <w:sz w:val="18"/>
              </w:rPr>
              <w:t>988.564</w:t>
            </w:r>
          </w:p>
        </w:tc>
        <w:tc>
          <w:tcPr>
            <w:tcW w:type="dxa" w:w="964"/>
            <w:shd w:val="clear" w:color="auto" w:fill="F2F8F7"/>
          </w:tcPr>
          <w:p>
            <w:pPr>
              <w:spacing w:before="60" w:after="60"/>
            </w:pPr>
            <w:r>
              <w:rPr>
                <w:sz w:val="18"/>
              </w:rPr>
              <w:t>930</w:t>
            </w:r>
          </w:p>
        </w:tc>
        <w:tc>
          <w:tcPr>
            <w:tcW w:type="dxa" w:w="964"/>
            <w:shd w:val="clear" w:color="auto" w:fill="F2F8F7"/>
          </w:tcPr>
          <w:p>
            <w:pPr>
              <w:spacing w:before="60" w:after="60"/>
            </w:pPr>
            <w:r>
              <w:rPr>
                <w:sz w:val="18"/>
              </w:rPr>
              <w:t>970</w:t>
            </w:r>
          </w:p>
        </w:tc>
        <w:tc>
          <w:tcPr>
            <w:tcW w:type="dxa" w:w="1020"/>
            <w:shd w:val="clear" w:color="auto" w:fill="F2F8F7"/>
          </w:tcPr>
          <w:p>
            <w:pPr>
              <w:spacing w:before="60" w:after="60"/>
            </w:pPr>
            <w:r>
              <w:rPr>
                <w:sz w:val="18"/>
              </w:rPr>
              <w:t>20.2%</w:t>
            </w:r>
          </w:p>
        </w:tc>
        <w:tc>
          <w:tcPr>
            <w:tcW w:type="dxa" w:w="1247"/>
            <w:shd w:val="clear" w:color="auto" w:fill="F2F8F7"/>
          </w:tcPr>
          <w:p>
            <w:pPr>
              <w:spacing w:before="60" w:after="60"/>
            </w:pPr>
            <w:r>
              <w:rPr>
                <w:sz w:val="18"/>
              </w:rPr>
              <w:t>✗ Critical</w:t>
            </w:r>
          </w:p>
        </w:tc>
      </w:tr>
      <w:tr>
        <w:tc>
          <w:tcPr>
            <w:tcW w:type="dxa" w:w="1814"/>
            <w:shd w:val="clear" w:color="auto" w:fill="FFFFFF"/>
          </w:tcPr>
          <w:p>
            <w:pPr>
              <w:spacing w:before="60" w:after="60"/>
            </w:pPr>
            <w:r>
              <w:rPr>
                <w:sz w:val="18"/>
              </w:rPr>
              <w:t>pH</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8.455</w:t>
            </w:r>
          </w:p>
        </w:tc>
        <w:tc>
          <w:tcPr>
            <w:tcW w:type="dxa" w:w="850"/>
            <w:shd w:val="clear" w:color="auto" w:fill="FFFFFF"/>
          </w:tcPr>
          <w:p>
            <w:pPr>
              <w:spacing w:before="60" w:after="60"/>
            </w:pPr>
            <w:r>
              <w:rPr>
                <w:sz w:val="18"/>
              </w:rPr>
              <w:t>0.256</w:t>
            </w:r>
          </w:p>
        </w:tc>
        <w:tc>
          <w:tcPr>
            <w:tcW w:type="dxa" w:w="794"/>
            <w:shd w:val="clear" w:color="auto" w:fill="FFFFFF"/>
          </w:tcPr>
          <w:p>
            <w:pPr>
              <w:spacing w:before="60" w:after="60"/>
            </w:pPr>
            <w:r>
              <w:rPr>
                <w:sz w:val="18"/>
              </w:rPr>
              <w:t>7.458</w:t>
            </w:r>
          </w:p>
        </w:tc>
        <w:tc>
          <w:tcPr>
            <w:tcW w:type="dxa" w:w="794"/>
            <w:shd w:val="clear" w:color="auto" w:fill="FFFFFF"/>
          </w:tcPr>
          <w:p>
            <w:pPr>
              <w:spacing w:before="60" w:after="60"/>
            </w:pPr>
            <w:r>
              <w:rPr>
                <w:sz w:val="18"/>
              </w:rPr>
              <w:t>8.914</w:t>
            </w:r>
          </w:p>
        </w:tc>
        <w:tc>
          <w:tcPr>
            <w:tcW w:type="dxa" w:w="964"/>
            <w:shd w:val="clear" w:color="auto" w:fill="FFFFFF"/>
          </w:tcPr>
          <w:p>
            <w:pPr>
              <w:spacing w:before="60" w:after="60"/>
            </w:pPr>
            <w:r>
              <w:rPr>
                <w:sz w:val="18"/>
              </w:rPr>
              <w:t>7.50</w:t>
            </w:r>
          </w:p>
        </w:tc>
        <w:tc>
          <w:tcPr>
            <w:tcW w:type="dxa" w:w="964"/>
            <w:shd w:val="clear" w:color="auto" w:fill="FFFFFF"/>
          </w:tcPr>
          <w:p>
            <w:pPr>
              <w:spacing w:before="60" w:after="60"/>
            </w:pPr>
            <w:r>
              <w:rPr>
                <w:sz w:val="18"/>
              </w:rPr>
              <w:t>10.00</w:t>
            </w:r>
          </w:p>
        </w:tc>
        <w:tc>
          <w:tcPr>
            <w:tcW w:type="dxa" w:w="1020"/>
            <w:shd w:val="clear" w:color="auto" w:fill="FFFFFF"/>
          </w:tcPr>
          <w:p>
            <w:pPr>
              <w:spacing w:before="60" w:after="60"/>
            </w:pPr>
            <w:r>
              <w:rPr>
                <w:sz w:val="18"/>
              </w:rPr>
              <w:t>100.0%</w:t>
            </w:r>
          </w:p>
        </w:tc>
        <w:tc>
          <w:tcPr>
            <w:tcW w:type="dxa" w:w="1247"/>
            <w:shd w:val="clear" w:color="auto" w:fill="FFFFFF"/>
          </w:tcPr>
          <w:p>
            <w:pPr>
              <w:spacing w:before="60" w:after="60"/>
            </w:pPr>
            <w:r>
              <w:rPr>
                <w:sz w:val="18"/>
              </w:rPr>
              <w:t>ℹ Info</w:t>
            </w:r>
          </w:p>
        </w:tc>
      </w:tr>
      <w:tr>
        <w:tc>
          <w:tcPr>
            <w:tcW w:type="dxa" w:w="1814"/>
            <w:shd w:val="clear" w:color="auto" w:fill="F2F8F7"/>
          </w:tcPr>
          <w:p>
            <w:pPr>
              <w:spacing w:before="60" w:after="60"/>
            </w:pPr>
            <w:r>
              <w:rPr>
                <w:sz w:val="18"/>
              </w:rPr>
              <w:t>ORP (mV)</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549.451</w:t>
            </w:r>
          </w:p>
        </w:tc>
        <w:tc>
          <w:tcPr>
            <w:tcW w:type="dxa" w:w="850"/>
            <w:shd w:val="clear" w:color="auto" w:fill="F2F8F7"/>
          </w:tcPr>
          <w:p>
            <w:pPr>
              <w:spacing w:before="60" w:after="60"/>
            </w:pPr>
            <w:r>
              <w:rPr>
                <w:sz w:val="18"/>
              </w:rPr>
              <w:t>152.851</w:t>
            </w:r>
          </w:p>
        </w:tc>
        <w:tc>
          <w:tcPr>
            <w:tcW w:type="dxa" w:w="794"/>
            <w:shd w:val="clear" w:color="auto" w:fill="F2F8F7"/>
          </w:tcPr>
          <w:p>
            <w:pPr>
              <w:spacing w:before="60" w:after="60"/>
            </w:pPr>
            <w:r>
              <w:rPr>
                <w:sz w:val="18"/>
              </w:rPr>
              <w:t>78.917</w:t>
            </w:r>
          </w:p>
        </w:tc>
        <w:tc>
          <w:tcPr>
            <w:tcW w:type="dxa" w:w="794"/>
            <w:shd w:val="clear" w:color="auto" w:fill="F2F8F7"/>
          </w:tcPr>
          <w:p>
            <w:pPr>
              <w:spacing w:before="60" w:after="60"/>
            </w:pPr>
            <w:r>
              <w:rPr>
                <w:sz w:val="18"/>
              </w:rPr>
              <w:t>819.747</w:t>
            </w:r>
          </w:p>
        </w:tc>
        <w:tc>
          <w:tcPr>
            <w:tcW w:type="dxa" w:w="964"/>
            <w:shd w:val="clear" w:color="auto" w:fill="F2F8F7"/>
          </w:tcPr>
          <w:p>
            <w:pPr>
              <w:spacing w:before="60" w:after="60"/>
            </w:pPr>
            <w:r>
              <w:rPr>
                <w:sz w:val="18"/>
              </w:rPr>
              <w:t>–</w:t>
            </w:r>
          </w:p>
        </w:tc>
        <w:tc>
          <w:tcPr>
            <w:tcW w:type="dxa" w:w="964"/>
            <w:shd w:val="clear" w:color="auto" w:fill="F2F8F7"/>
          </w:tcPr>
          <w:p>
            <w:pPr>
              <w:spacing w:before="60" w:after="60"/>
            </w:pPr>
            <w:r>
              <w:rPr>
                <w:sz w:val="18"/>
              </w:rPr>
              <w:t>–</w:t>
            </w:r>
          </w:p>
        </w:tc>
        <w:tc>
          <w:tcPr>
            <w:tcW w:type="dxa" w:w="1020"/>
            <w:shd w:val="clear" w:color="auto" w:fill="F2F8F7"/>
          </w:tcPr>
          <w:p>
            <w:pPr>
              <w:spacing w:before="60" w:after="60"/>
            </w:pPr>
            <w:r>
              <w:rPr>
                <w:sz w:val="18"/>
              </w:rPr>
              <w:t>–</w:t>
            </w:r>
          </w:p>
        </w:tc>
        <w:tc>
          <w:tcPr>
            <w:tcW w:type="dxa" w:w="1247"/>
            <w:shd w:val="clear" w:color="auto" w:fill="F2F8F7"/>
          </w:tcPr>
          <w:p>
            <w:pPr>
              <w:spacing w:before="60" w:after="60"/>
            </w:pPr>
            <w:r>
              <w:rPr>
                <w:sz w:val="18"/>
              </w:rPr>
              <w:t>See chart</w:t>
            </w:r>
          </w:p>
        </w:tc>
      </w:tr>
      <w:tr>
        <w:tc>
          <w:tcPr>
            <w:tcW w:type="dxa" w:w="1814"/>
            <w:shd w:val="clear" w:color="auto" w:fill="FFFFFF"/>
          </w:tcPr>
          <w:p>
            <w:pPr>
              <w:spacing w:before="60" w:after="60"/>
            </w:pPr>
            <w:r>
              <w:rPr>
                <w:sz w:val="18"/>
              </w:rPr>
              <w:t>Turbidity (NTU)</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3.160</w:t>
            </w:r>
          </w:p>
        </w:tc>
        <w:tc>
          <w:tcPr>
            <w:tcW w:type="dxa" w:w="850"/>
            <w:shd w:val="clear" w:color="auto" w:fill="FFFFFF"/>
          </w:tcPr>
          <w:p>
            <w:pPr>
              <w:spacing w:before="60" w:after="60"/>
            </w:pPr>
            <w:r>
              <w:rPr>
                <w:sz w:val="18"/>
              </w:rPr>
              <w:t>1.191</w:t>
            </w:r>
          </w:p>
        </w:tc>
        <w:tc>
          <w:tcPr>
            <w:tcW w:type="dxa" w:w="794"/>
            <w:shd w:val="clear" w:color="auto" w:fill="FFFFFF"/>
          </w:tcPr>
          <w:p>
            <w:pPr>
              <w:spacing w:before="60" w:after="60"/>
            </w:pPr>
            <w:r>
              <w:rPr>
                <w:sz w:val="18"/>
              </w:rPr>
              <w:t>1.643</w:t>
            </w:r>
          </w:p>
        </w:tc>
        <w:tc>
          <w:tcPr>
            <w:tcW w:type="dxa" w:w="794"/>
            <w:shd w:val="clear" w:color="auto" w:fill="FFFFFF"/>
          </w:tcPr>
          <w:p>
            <w:pPr>
              <w:spacing w:before="60" w:after="60"/>
            </w:pPr>
            <w:r>
              <w:rPr>
                <w:sz w:val="18"/>
              </w:rPr>
              <w:t>38.197</w:t>
            </w:r>
          </w:p>
        </w:tc>
        <w:tc>
          <w:tcPr>
            <w:tcW w:type="dxa" w:w="964"/>
            <w:shd w:val="clear" w:color="auto" w:fill="FFFFFF"/>
          </w:tcPr>
          <w:p>
            <w:pPr>
              <w:spacing w:before="60" w:after="60"/>
            </w:pPr>
            <w:r>
              <w:rPr>
                <w:sz w:val="18"/>
              </w:rPr>
              <w:t>–</w:t>
            </w:r>
          </w:p>
        </w:tc>
        <w:tc>
          <w:tcPr>
            <w:tcW w:type="dxa" w:w="964"/>
            <w:shd w:val="clear" w:color="auto" w:fill="FFFFFF"/>
          </w:tcPr>
          <w:p>
            <w:pPr>
              <w:spacing w:before="60" w:after="60"/>
            </w:pPr>
            <w:r>
              <w:rPr>
                <w:sz w:val="18"/>
              </w:rPr>
              <w:t>75.0</w:t>
            </w:r>
          </w:p>
        </w:tc>
        <w:tc>
          <w:tcPr>
            <w:tcW w:type="dxa" w:w="1020"/>
            <w:shd w:val="clear" w:color="auto" w:fill="FFFFFF"/>
          </w:tcPr>
          <w:p>
            <w:pPr>
              <w:spacing w:before="60" w:after="60"/>
            </w:pPr>
            <w:r>
              <w:rPr>
                <w:sz w:val="18"/>
              </w:rPr>
              <w:t>–</w:t>
            </w:r>
          </w:p>
        </w:tc>
        <w:tc>
          <w:tcPr>
            <w:tcW w:type="dxa" w:w="1247"/>
            <w:shd w:val="clear" w:color="auto" w:fill="FFFFFF"/>
          </w:tcPr>
          <w:p>
            <w:pPr>
              <w:spacing w:before="60" w:after="60"/>
            </w:pPr>
            <w:r>
              <w:rPr>
                <w:sz w:val="18"/>
              </w:rPr>
              <w:t>ℹ Info</w:t>
            </w:r>
          </w:p>
        </w:tc>
      </w:tr>
      <w:tr>
        <w:tc>
          <w:tcPr>
            <w:tcW w:type="dxa" w:w="1814"/>
            <w:shd w:val="clear" w:color="auto" w:fill="F2F8F7"/>
          </w:tcPr>
          <w:p>
            <w:pPr>
              <w:spacing w:before="60" w:after="60"/>
            </w:pPr>
            <w:r>
              <w:rPr>
                <w:sz w:val="18"/>
              </w:rPr>
              <w:t>Cell Fouling (%)</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15.129</w:t>
            </w:r>
          </w:p>
        </w:tc>
        <w:tc>
          <w:tcPr>
            <w:tcW w:type="dxa" w:w="850"/>
            <w:shd w:val="clear" w:color="auto" w:fill="F2F8F7"/>
          </w:tcPr>
          <w:p>
            <w:pPr>
              <w:spacing w:before="60" w:after="60"/>
            </w:pPr>
            <w:r>
              <w:rPr>
                <w:sz w:val="18"/>
              </w:rPr>
              <w:t>3.677</w:t>
            </w:r>
          </w:p>
        </w:tc>
        <w:tc>
          <w:tcPr>
            <w:tcW w:type="dxa" w:w="794"/>
            <w:shd w:val="clear" w:color="auto" w:fill="F2F8F7"/>
          </w:tcPr>
          <w:p>
            <w:pPr>
              <w:spacing w:before="60" w:after="60"/>
            </w:pPr>
            <w:r>
              <w:rPr>
                <w:sz w:val="18"/>
              </w:rPr>
              <w:t>10.370</w:t>
            </w:r>
          </w:p>
        </w:tc>
        <w:tc>
          <w:tcPr>
            <w:tcW w:type="dxa" w:w="794"/>
            <w:shd w:val="clear" w:color="auto" w:fill="F2F8F7"/>
          </w:tcPr>
          <w:p>
            <w:pPr>
              <w:spacing w:before="60" w:after="60"/>
            </w:pPr>
            <w:r>
              <w:rPr>
                <w:sz w:val="18"/>
              </w:rPr>
              <w:t>23.008</w:t>
            </w:r>
          </w:p>
        </w:tc>
        <w:tc>
          <w:tcPr>
            <w:tcW w:type="dxa" w:w="964"/>
            <w:shd w:val="clear" w:color="auto" w:fill="F2F8F7"/>
          </w:tcPr>
          <w:p>
            <w:pPr>
              <w:spacing w:before="60" w:after="60"/>
            </w:pPr>
            <w:r>
              <w:rPr>
                <w:sz w:val="18"/>
              </w:rPr>
              <w:t>–</w:t>
            </w:r>
          </w:p>
        </w:tc>
        <w:tc>
          <w:tcPr>
            <w:tcW w:type="dxa" w:w="964"/>
            <w:shd w:val="clear" w:color="auto" w:fill="F2F8F7"/>
          </w:tcPr>
          <w:p>
            <w:pPr>
              <w:spacing w:before="60" w:after="60"/>
            </w:pPr>
            <w:r>
              <w:rPr>
                <w:sz w:val="18"/>
              </w:rPr>
              <w:t>30.0</w:t>
            </w:r>
          </w:p>
        </w:tc>
        <w:tc>
          <w:tcPr>
            <w:tcW w:type="dxa" w:w="1020"/>
            <w:shd w:val="clear" w:color="auto" w:fill="F2F8F7"/>
          </w:tcPr>
          <w:p>
            <w:pPr>
              <w:spacing w:before="60" w:after="60"/>
            </w:pPr>
            <w:r>
              <w:rPr>
                <w:sz w:val="18"/>
              </w:rPr>
              <w:t>–</w:t>
            </w:r>
          </w:p>
        </w:tc>
        <w:tc>
          <w:tcPr>
            <w:tcW w:type="dxa" w:w="1247"/>
            <w:shd w:val="clear" w:color="auto" w:fill="F2F8F7"/>
          </w:tcPr>
          <w:p>
            <w:pPr>
              <w:spacing w:before="60" w:after="60"/>
            </w:pPr>
            <w:r>
              <w:rPr>
                <w:sz w:val="18"/>
              </w:rPr>
              <w:t>ℹ Info</w:t>
            </w:r>
          </w:p>
        </w:tc>
      </w:tr>
      <w:tr>
        <w:tc>
          <w:tcPr>
            <w:tcW w:type="dxa" w:w="1814"/>
            <w:shd w:val="clear" w:color="auto" w:fill="FFFFFF"/>
          </w:tcPr>
          <w:p>
            <w:pPr>
              <w:spacing w:before="60" w:after="60"/>
            </w:pPr>
            <w:r>
              <w:rPr>
                <w:sz w:val="18"/>
              </w:rPr>
              <w:t>FRC</w:t>
            </w:r>
          </w:p>
        </w:tc>
        <w:tc>
          <w:tcPr>
            <w:tcW w:type="dxa" w:w="1247"/>
            <w:shd w:val="clear" w:color="auto" w:fill="FFFFFF"/>
          </w:tcPr>
          <w:p>
            <w:pPr>
              <w:spacing w:before="60" w:after="60"/>
            </w:pPr>
            <w:r>
              <w:rPr>
                <w:sz w:val="18"/>
              </w:rPr>
              <w:t>Field Data</w:t>
            </w:r>
          </w:p>
        </w:tc>
        <w:tc>
          <w:tcPr>
            <w:tcW w:type="dxa" w:w="850"/>
            <w:shd w:val="clear" w:color="auto" w:fill="FFFFFF"/>
          </w:tcPr>
          <w:p>
            <w:pPr>
              <w:spacing w:before="60" w:after="60"/>
            </w:pPr>
            <w:r>
              <w:rPr>
                <w:sz w:val="18"/>
              </w:rPr>
              <w:t>Not avail.</w:t>
            </w:r>
          </w:p>
        </w:tc>
        <w:tc>
          <w:tcPr>
            <w:tcW w:type="dxa" w:w="850"/>
            <w:shd w:val="clear" w:color="auto" w:fill="FFFFFF"/>
          </w:tcPr>
          <w:p>
            <w:pPr>
              <w:spacing w:before="60" w:after="60"/>
            </w:pPr>
            <w:r>
              <w:rPr>
                <w:sz w:val="18"/>
              </w:rPr>
              <w:t>–</w:t>
            </w:r>
          </w:p>
        </w:tc>
        <w:tc>
          <w:tcPr>
            <w:tcW w:type="dxa" w:w="794"/>
            <w:shd w:val="clear" w:color="auto" w:fill="FFFFFF"/>
          </w:tcPr>
          <w:p>
            <w:pPr>
              <w:spacing w:before="60" w:after="60"/>
            </w:pPr>
            <w:r>
              <w:rPr>
                <w:sz w:val="18"/>
              </w:rPr>
              <w:t>–</w:t>
            </w:r>
          </w:p>
        </w:tc>
        <w:tc>
          <w:tcPr>
            <w:tcW w:type="dxa" w:w="794"/>
            <w:shd w:val="clear" w:color="auto" w:fill="FFFFFF"/>
          </w:tcPr>
          <w:p>
            <w:pPr>
              <w:spacing w:before="60" w:after="60"/>
            </w:pPr>
            <w:r>
              <w:rPr>
                <w:sz w:val="18"/>
              </w:rPr>
              <w:t>–</w:t>
            </w:r>
          </w:p>
        </w:tc>
        <w:tc>
          <w:tcPr>
            <w:tcW w:type="dxa" w:w="964"/>
            <w:shd w:val="clear" w:color="auto" w:fill="FFFFFF"/>
          </w:tcPr>
          <w:p>
            <w:pPr>
              <w:spacing w:before="60" w:after="60"/>
            </w:pPr>
            <w:r>
              <w:rPr>
                <w:sz w:val="18"/>
              </w:rPr>
              <w:t>–</w:t>
            </w:r>
          </w:p>
        </w:tc>
        <w:tc>
          <w:tcPr>
            <w:tcW w:type="dxa" w:w="964"/>
            <w:shd w:val="clear" w:color="auto" w:fill="FFFFFF"/>
          </w:tcPr>
          <w:p>
            <w:pPr>
              <w:spacing w:before="60" w:after="60"/>
            </w:pPr>
            <w:r>
              <w:rPr>
                <w:sz w:val="18"/>
              </w:rPr>
              <w:t>–</w:t>
            </w:r>
          </w:p>
        </w:tc>
        <w:tc>
          <w:tcPr>
            <w:tcW w:type="dxa" w:w="1020"/>
            <w:shd w:val="clear" w:color="auto" w:fill="FFFFFF"/>
          </w:tcPr>
          <w:p>
            <w:pPr>
              <w:spacing w:before="60" w:after="60"/>
            </w:pPr>
            <w:r>
              <w:rPr>
                <w:sz w:val="18"/>
              </w:rPr>
              <w:t>–</w:t>
            </w:r>
          </w:p>
        </w:tc>
        <w:tc>
          <w:tcPr>
            <w:tcW w:type="dxa" w:w="1247"/>
            <w:shd w:val="clear" w:color="auto" w:fill="FFFFFF"/>
          </w:tcPr>
          <w:p>
            <w:pPr>
              <w:spacing w:before="60" w:after="60"/>
            </w:pPr>
            <w:r>
              <w:rPr>
                <w:sz w:val="18"/>
              </w:rPr>
              <w:t>⚠ Check</w:t>
            </w:r>
          </w:p>
        </w:tc>
      </w:tr>
    </w:tbl>
    <w:p/>
    <w:p>
      <w:r>
        <w:br w:type="page"/>
      </w:r>
    </w:p>
    <w:p>
      <w:pPr>
        <w:pBdr>
          <w:bottom w:val="single" w:sz="8" w:space="4" w:color="00857C"/>
        </w:pBdr>
        <w:spacing w:before="280" w:after="80"/>
      </w:pPr>
      <w:r>
        <w:rPr>
          <w:b/>
          <w:color w:val="00857C"/>
          <w:sz w:val="32"/>
        </w:rPr>
        <w:t>Charts and Comments</w:t>
      </w:r>
    </w:p>
    <w:p>
      <w:pPr>
        <w:spacing w:before="200" w:after="60"/>
      </w:pPr>
      <w:r>
        <w:rPr>
          <w:b/>
          <w:color w:val="005F58"/>
          <w:sz w:val="26"/>
        </w:rPr>
        <w:t>Corrosion Rate</w:t>
      </w:r>
    </w:p>
    <w:p>
      <w:pPr>
        <w:jc w:val="center"/>
      </w:pPr>
      <w:r>
        <w:drawing>
          <wp:inline xmlns:a="http://schemas.openxmlformats.org/drawingml/2006/main" xmlns:pic="http://schemas.openxmlformats.org/drawingml/2006/picture">
            <wp:extent cx="5486400" cy="2568696"/>
            <wp:docPr id="1" name="Picture 1"/>
            <wp:cNvGraphicFramePr>
              <a:graphicFrameLocks noChangeAspect="1"/>
            </wp:cNvGraphicFramePr>
            <a:graphic>
              <a:graphicData uri="http://schemas.openxmlformats.org/drawingml/2006/picture">
                <pic:pic>
                  <pic:nvPicPr>
                    <pic:cNvPr id="0" name="flowserve_us_raleigh_nc_us_july_2026_corrosion.png"/>
                    <pic:cNvPicPr/>
                  </pic:nvPicPr>
                  <pic:blipFill>
                    <a:blip r:embed="rId11"/>
                    <a:stretch>
                      <a:fillRect/>
                    </a:stretch>
                  </pic:blipFill>
                  <pic:spPr>
                    <a:xfrm>
                      <a:off x="0" y="0"/>
                      <a:ext cx="5486400" cy="2568696"/>
                    </a:xfrm>
                    <a:prstGeom prst="rect"/>
                  </pic:spPr>
                </pic:pic>
              </a:graphicData>
            </a:graphic>
          </wp:inline>
        </w:drawing>
      </w:r>
    </w:p>
    <w:p>
      <w:pPr>
        <w:spacing w:after="120"/>
        <w:jc w:val="center"/>
      </w:pPr>
      <w:r>
        <w:rPr>
          <w:i/>
          <w:color w:val="444444"/>
          <w:sz w:val="17"/>
        </w:rPr>
        <w:t>Figure 1: Corrosion Rate — July 2026</w:t>
      </w:r>
    </w:p>
    <w:p>
      <w:pPr>
        <w:spacing w:before="40" w:after="200"/>
      </w:pPr>
      <w:r>
        <w:rPr>
          <w:b/>
          <w:i/>
          <w:color w:val="333333"/>
          <w:sz w:val="19"/>
        </w:rPr>
        <w:t xml:space="preserve">Comment: </w:t>
      </w:r>
      <w:r>
        <w:rPr>
          <w:i/>
          <w:color w:val="333333"/>
          <w:sz w:val="19"/>
        </w:rPr>
        <w:t>Mild steel corrosion decreased across the month, while copper corrosion decreased across the month.</w:t>
      </w:r>
      <w:r>
        <w:br/>
      </w:r>
      <w:r>
        <w:rPr>
          <w:i/>
          <w:color w:val="333333"/>
          <w:sz w:val="19"/>
        </w:rPr>
        <w:t>The monthly averages were MS 1.102 MPY and Cu 0.025 MPY when data was available.</w:t>
      </w:r>
      <w:r>
        <w:br/>
      </w:r>
      <w:r>
        <w:rPr>
          <w:i/>
          <w:color w:val="333333"/>
          <w:sz w:val="19"/>
        </w:rPr>
        <w:t>MS was within the 3.0 MPY target, and Cu was within the 0.5 MPY target.</w:t>
      </w:r>
      <w:r>
        <w:br/>
      </w:r>
      <w:r>
        <w:rPr>
          <w:i/>
          <w:color w:val="333333"/>
          <w:sz w:val="19"/>
        </w:rPr>
        <w:t>The pattern should continue to be monitored for any sustained upward corrosion movement.</w:t>
      </w:r>
    </w:p>
    <w:p>
      <w:pPr>
        <w:spacing w:before="200" w:after="60"/>
      </w:pPr>
      <w:r>
        <w:rPr>
          <w:b/>
          <w:color w:val="005F58"/>
          <w:sz w:val="26"/>
        </w:rPr>
        <w:t>Traced Product Control Trend</w:t>
      </w:r>
    </w:p>
    <w:p>
      <w:pPr>
        <w:jc w:val="center"/>
      </w:pPr>
      <w:r>
        <w:drawing>
          <wp:inline xmlns:a="http://schemas.openxmlformats.org/drawingml/2006/main" xmlns:pic="http://schemas.openxmlformats.org/drawingml/2006/picture">
            <wp:extent cx="5486400" cy="2568696"/>
            <wp:docPr id="2" name="Picture 2"/>
            <wp:cNvGraphicFramePr>
              <a:graphicFrameLocks noChangeAspect="1"/>
            </wp:cNvGraphicFramePr>
            <a:graphic>
              <a:graphicData uri="http://schemas.openxmlformats.org/drawingml/2006/picture">
                <pic:pic>
                  <pic:nvPicPr>
                    <pic:cNvPr id="0" name="flowserve_us_raleigh_nc_us_july_2026_traced_product.png"/>
                    <pic:cNvPicPr/>
                  </pic:nvPicPr>
                  <pic:blipFill>
                    <a:blip r:embed="rId12"/>
                    <a:stretch>
                      <a:fillRect/>
                    </a:stretch>
                  </pic:blipFill>
                  <pic:spPr>
                    <a:xfrm>
                      <a:off x="0" y="0"/>
                      <a:ext cx="5486400" cy="2568696"/>
                    </a:xfrm>
                    <a:prstGeom prst="rect"/>
                  </pic:spPr>
                </pic:pic>
              </a:graphicData>
            </a:graphic>
          </wp:inline>
        </w:drawing>
      </w:r>
    </w:p>
    <w:p>
      <w:pPr>
        <w:spacing w:after="120"/>
        <w:jc w:val="center"/>
      </w:pPr>
      <w:r>
        <w:rPr>
          <w:i/>
          <w:color w:val="444444"/>
          <w:sz w:val="17"/>
        </w:rPr>
        <w:t>Figure 2: Traced Product — July 2026</w:t>
      </w:r>
    </w:p>
    <w:p>
      <w:pPr>
        <w:spacing w:before="40" w:after="200"/>
      </w:pPr>
      <w:r>
        <w:rPr>
          <w:b/>
          <w:i/>
          <w:color w:val="333333"/>
          <w:sz w:val="19"/>
        </w:rPr>
        <w:t xml:space="preserve">Comment: </w:t>
      </w:r>
      <w:r>
        <w:rPr>
          <w:i/>
          <w:color w:val="333333"/>
          <w:sz w:val="19"/>
        </w:rPr>
        <w:t>Traced Product decreased across the month from start to end of the month.</w:t>
      </w:r>
      <w:r>
        <w:br/>
      </w:r>
      <w:r>
        <w:rPr>
          <w:i/>
          <w:color w:val="333333"/>
          <w:sz w:val="19"/>
        </w:rPr>
        <w:t>The trend moved from about 92.9 ppm at the start to 90.9 ppm at the end.</w:t>
      </w:r>
      <w:r>
        <w:br/>
      </w:r>
      <w:r>
        <w:rPr>
          <w:i/>
          <w:color w:val="333333"/>
          <w:sz w:val="19"/>
        </w:rPr>
        <w:t>The Traced Product average was above the configured range. The monthly in-range performance was 41.3%.</w:t>
      </w:r>
      <w:r>
        <w:br/>
      </w:r>
      <w:r>
        <w:rPr>
          <w:i/>
          <w:color w:val="333333"/>
          <w:sz w:val="19"/>
        </w:rPr>
        <w:t>This pattern indicates whether feed control is settling into the setpoint band or needs field review.</w:t>
      </w:r>
    </w:p>
    <w:p>
      <w:pPr>
        <w:spacing w:before="200" w:after="60"/>
      </w:pPr>
      <w:r>
        <w:rPr>
          <w:b/>
          <w:color w:val="005F58"/>
          <w:sz w:val="26"/>
        </w:rPr>
        <w:t>ORP vs Copper Corrosion Rate</w:t>
      </w:r>
    </w:p>
    <w:p>
      <w:pPr>
        <w:jc w:val="center"/>
      </w:pPr>
      <w:r>
        <w:drawing>
          <wp:inline xmlns:a="http://schemas.openxmlformats.org/drawingml/2006/main" xmlns:pic="http://schemas.openxmlformats.org/drawingml/2006/picture">
            <wp:extent cx="5486400" cy="2570877"/>
            <wp:docPr id="3" name="Picture 3"/>
            <wp:cNvGraphicFramePr>
              <a:graphicFrameLocks noChangeAspect="1"/>
            </wp:cNvGraphicFramePr>
            <a:graphic>
              <a:graphicData uri="http://schemas.openxmlformats.org/drawingml/2006/picture">
                <pic:pic>
                  <pic:nvPicPr>
                    <pic:cNvPr id="0" name="flowserve_us_raleigh_nc_us_july_2026_orp_corrosion.png"/>
                    <pic:cNvPicPr/>
                  </pic:nvPicPr>
                  <pic:blipFill>
                    <a:blip r:embed="rId13"/>
                    <a:stretch>
                      <a:fillRect/>
                    </a:stretch>
                  </pic:blipFill>
                  <pic:spPr>
                    <a:xfrm>
                      <a:off x="0" y="0"/>
                      <a:ext cx="5486400" cy="2570877"/>
                    </a:xfrm>
                    <a:prstGeom prst="rect"/>
                  </pic:spPr>
                </pic:pic>
              </a:graphicData>
            </a:graphic>
          </wp:inline>
        </w:drawing>
      </w:r>
    </w:p>
    <w:p>
      <w:pPr>
        <w:spacing w:after="120"/>
        <w:jc w:val="center"/>
      </w:pPr>
      <w:r>
        <w:rPr>
          <w:i/>
          <w:color w:val="444444"/>
          <w:sz w:val="17"/>
        </w:rPr>
        <w:t>Figure 3: ORP vs Copper Corrosion Rate — July 2026</w:t>
      </w:r>
    </w:p>
    <w:p>
      <w:pPr>
        <w:spacing w:before="40" w:after="200"/>
      </w:pPr>
      <w:r>
        <w:rPr>
          <w:b/>
          <w:i/>
          <w:color w:val="333333"/>
          <w:sz w:val="19"/>
        </w:rPr>
        <w:t xml:space="preserve">Comment: </w:t>
      </w:r>
      <w:r>
        <w:rPr>
          <w:i/>
          <w:color w:val="333333"/>
          <w:sz w:val="19"/>
        </w:rPr>
        <w:t>ORP showed a visible spike response pattern during the month.</w:t>
      </w:r>
      <w:r>
        <w:br/>
      </w:r>
      <w:r>
        <w:rPr>
          <w:i/>
          <w:color w:val="333333"/>
          <w:sz w:val="19"/>
        </w:rPr>
        <w:t>The ORP pattern increased across the month without using absolute ORP values.</w:t>
      </w:r>
      <w:r>
        <w:br/>
      </w:r>
      <w:r>
        <w:rPr>
          <w:i/>
          <w:color w:val="333333"/>
          <w:sz w:val="19"/>
        </w:rPr>
        <w:t>Copper corrosion decreased across the month while the ORP pattern changed.</w:t>
      </w:r>
      <w:r>
        <w:br/>
      </w:r>
      <w:r>
        <w:rPr>
          <w:i/>
          <w:color w:val="333333"/>
          <w:sz w:val="19"/>
        </w:rPr>
        <w:t>This pattern helps confirm whether biocide response is consistent without creating a corrosion upset.</w:t>
      </w:r>
    </w:p>
    <w:p>
      <w:pPr>
        <w:spacing w:before="200" w:after="60"/>
      </w:pPr>
      <w:r>
        <w:rPr>
          <w:b/>
          <w:color w:val="005F58"/>
          <w:sz w:val="26"/>
        </w:rPr>
        <w:t>Oxidizing Biocide Pump Relay vs Copper Corrosion</w:t>
      </w:r>
    </w:p>
    <w:p>
      <w:pPr>
        <w:jc w:val="center"/>
      </w:pPr>
      <w:r>
        <w:drawing>
          <wp:inline xmlns:a="http://schemas.openxmlformats.org/drawingml/2006/main" xmlns:pic="http://schemas.openxmlformats.org/drawingml/2006/picture">
            <wp:extent cx="5486400" cy="2568696"/>
            <wp:docPr id="4" name="Picture 4"/>
            <wp:cNvGraphicFramePr>
              <a:graphicFrameLocks noChangeAspect="1"/>
            </wp:cNvGraphicFramePr>
            <a:graphic>
              <a:graphicData uri="http://schemas.openxmlformats.org/drawingml/2006/picture">
                <pic:pic>
                  <pic:nvPicPr>
                    <pic:cNvPr id="0" name="flowserve_us_raleigh_nc_us_july_2026_biocide_corrosion.png"/>
                    <pic:cNvPicPr/>
                  </pic:nvPicPr>
                  <pic:blipFill>
                    <a:blip r:embed="rId14"/>
                    <a:stretch>
                      <a:fillRect/>
                    </a:stretch>
                  </pic:blipFill>
                  <pic:spPr>
                    <a:xfrm>
                      <a:off x="0" y="0"/>
                      <a:ext cx="5486400" cy="2568696"/>
                    </a:xfrm>
                    <a:prstGeom prst="rect"/>
                  </pic:spPr>
                </pic:pic>
              </a:graphicData>
            </a:graphic>
          </wp:inline>
        </w:drawing>
      </w:r>
    </w:p>
    <w:p>
      <w:pPr>
        <w:spacing w:after="120"/>
        <w:jc w:val="center"/>
      </w:pPr>
      <w:r>
        <w:rPr>
          <w:i/>
          <w:color w:val="444444"/>
          <w:sz w:val="17"/>
        </w:rPr>
        <w:t>Figure 4: Oxidizing Biocide Pump Relay vs Copper Corrosion — July 2026</w:t>
      </w:r>
    </w:p>
    <w:p>
      <w:pPr>
        <w:spacing w:before="40" w:after="200"/>
      </w:pPr>
      <w:r>
        <w:rPr>
          <w:b/>
          <w:i/>
          <w:color w:val="333333"/>
          <w:sz w:val="19"/>
        </w:rPr>
        <w:t xml:space="preserve">Comment: </w:t>
      </w:r>
      <w:r>
        <w:rPr>
          <w:i/>
          <w:color w:val="333333"/>
          <w:sz w:val="19"/>
        </w:rPr>
        <w:t>Biocide relay activity was present in the monthly trend.</w:t>
      </w:r>
      <w:r>
        <w:br/>
      </w:r>
      <w:r>
        <w:rPr>
          <w:i/>
          <w:color w:val="333333"/>
          <w:sz w:val="19"/>
        </w:rPr>
        <w:t>Relay activity increased across the month when the month is split into early and late periods.</w:t>
      </w:r>
      <w:r>
        <w:br/>
      </w:r>
      <w:r>
        <w:rPr>
          <w:i/>
          <w:color w:val="333333"/>
          <w:sz w:val="19"/>
        </w:rPr>
        <w:t>Copper corrosion decreased across the month during the same period.</w:t>
      </w:r>
      <w:r>
        <w:br/>
      </w:r>
      <w:r>
        <w:rPr>
          <w:i/>
          <w:color w:val="333333"/>
          <w:sz w:val="19"/>
        </w:rPr>
        <w:t>The pattern should be reviewed with service observations to confirm feed timing and corrosion stability.</w:t>
      </w:r>
    </w:p>
    <w:p>
      <w:pPr>
        <w:spacing w:before="200" w:after="60"/>
      </w:pPr>
      <w:r>
        <w:rPr>
          <w:b/>
          <w:color w:val="005F58"/>
          <w:sz w:val="26"/>
        </w:rPr>
        <w:t>Electrode Conductivity</w:t>
      </w:r>
    </w:p>
    <w:p>
      <w:pPr>
        <w:jc w:val="center"/>
      </w:pPr>
      <w:r>
        <w:drawing>
          <wp:inline xmlns:a="http://schemas.openxmlformats.org/drawingml/2006/main" xmlns:pic="http://schemas.openxmlformats.org/drawingml/2006/picture">
            <wp:extent cx="5486400" cy="2566519"/>
            <wp:docPr id="5" name="Picture 5"/>
            <wp:cNvGraphicFramePr>
              <a:graphicFrameLocks noChangeAspect="1"/>
            </wp:cNvGraphicFramePr>
            <a:graphic>
              <a:graphicData uri="http://schemas.openxmlformats.org/drawingml/2006/picture">
                <pic:pic>
                  <pic:nvPicPr>
                    <pic:cNvPr id="0" name="flowserve_us_raleigh_nc_us_july_2026_conductivity.png"/>
                    <pic:cNvPicPr/>
                  </pic:nvPicPr>
                  <pic:blipFill>
                    <a:blip r:embed="rId15"/>
                    <a:stretch>
                      <a:fillRect/>
                    </a:stretch>
                  </pic:blipFill>
                  <pic:spPr>
                    <a:xfrm>
                      <a:off x="0" y="0"/>
                      <a:ext cx="5486400" cy="2566519"/>
                    </a:xfrm>
                    <a:prstGeom prst="rect"/>
                  </pic:spPr>
                </pic:pic>
              </a:graphicData>
            </a:graphic>
          </wp:inline>
        </w:drawing>
      </w:r>
    </w:p>
    <w:p>
      <w:pPr>
        <w:spacing w:after="120"/>
        <w:jc w:val="center"/>
      </w:pPr>
      <w:r>
        <w:rPr>
          <w:i/>
          <w:color w:val="444444"/>
          <w:sz w:val="17"/>
        </w:rPr>
        <w:t>Figure 5: Electrode Conductivity — July 2026</w:t>
      </w:r>
    </w:p>
    <w:p>
      <w:pPr>
        <w:spacing w:before="40" w:after="200"/>
      </w:pPr>
      <w:r>
        <w:rPr>
          <w:b/>
          <w:i/>
          <w:color w:val="333333"/>
          <w:sz w:val="19"/>
        </w:rPr>
        <w:t xml:space="preserve">Comment: </w:t>
      </w:r>
      <w:r>
        <w:rPr>
          <w:i/>
          <w:color w:val="333333"/>
          <w:sz w:val="19"/>
        </w:rPr>
        <w:t>Conductivity decreased across the month from start to end of the month.</w:t>
      </w:r>
      <w:r>
        <w:br/>
      </w:r>
      <w:r>
        <w:rPr>
          <w:i/>
          <w:color w:val="333333"/>
          <w:sz w:val="19"/>
        </w:rPr>
        <w:t>The trend moved from about 896.8 uS/cm at the start to 884.5 uS/cm at the end.</w:t>
      </w:r>
      <w:r>
        <w:br/>
      </w:r>
      <w:r>
        <w:rPr>
          <w:i/>
          <w:color w:val="333333"/>
          <w:sz w:val="19"/>
        </w:rPr>
        <w:t>The conductivity average was below the configured range. The monthly in-range performance was 20.2%.</w:t>
      </w:r>
      <w:r>
        <w:br/>
      </w:r>
      <w:r>
        <w:rPr>
          <w:i/>
          <w:color w:val="333333"/>
          <w:sz w:val="19"/>
        </w:rPr>
        <w:t>This pattern indicates whether cycles, makeup, blowdown, or dilution behavior needs follow-up.</w:t>
      </w:r>
    </w:p>
    <w:p>
      <w:r>
        <w:br w:type="page"/>
      </w:r>
    </w:p>
    <w:p>
      <w:pPr>
        <w:pBdr>
          <w:bottom w:val="single" w:sz="8" w:space="4" w:color="00857C"/>
        </w:pBdr>
        <w:spacing w:before="280" w:after="80"/>
      </w:pPr>
      <w:r>
        <w:rPr>
          <w:b/>
          <w:color w:val="00857C"/>
          <w:sz w:val="32"/>
        </w:rPr>
        <w:t>Closing Summary</w:t>
      </w:r>
    </w:p>
    <w:p>
      <w:pPr>
        <w:spacing w:before="80" w:after="120"/>
        <w:jc w:val="left"/>
      </w:pPr>
      <w:r>
        <w:rPr>
          <w:b w:val="0"/>
          <w:i w:val="0"/>
          <w:sz w:val="20"/>
        </w:rPr>
        <w:t>Flowserve US Raleigh NC maintained good corrosion control during July 2026, while scale control and product efficiency should continue to be reviewed because Traced Product was above the SCC range for part of the month. Conductivity control requires attention due to low in-range performance, and FRC should be measured during the upcoming service visit to confirm microbial control.</w:t>
      </w:r>
    </w:p>
    <w:sectPr w:rsidR="00FC693F" w:rsidRPr="0006063C" w:rsidSect="00034616">
      <w:headerReference w:type="default" r:id="rId9"/>
      <w:footerReference w:type="default" r:id="rId10"/>
      <w:pgSz w:w="12240" w:h="15840"/>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44444"/>
        <w:sz w:val="16"/>
      </w:rPr>
      <w:t>Buckman Digital Water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00857C"/>
      </w:pBdr>
    </w:pPr>
    <w:r>
      <w:rPr>
        <w:color w:val="444444"/>
        <w:sz w:val="16"/>
      </w:rPr>
      <w:t>Buckman  |  Flowserve US Raleigh NC (US)  |  July 2026 Cooling Water Performance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