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12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Polymer consumption rate averaged 64.3% and decreased from 64.6% at the start of the month to 64.3% at the end of the month. The product was higher than target during the initial part of the month and moved closer to the control band later, but end-of-month control was 52.4% within range, so it is not yet consistently maintained well. The end-of-month traced product deviation from setpoint is minimal, so the control logic will be optimised.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b/>
          <w:i/>
          <w:color w:val="333333"/>
          <w:sz w:val="19"/>
        </w:rPr>
        <w:t xml:space="preserve">Comment: </w:t>
      </w:r>
      <w:r>
        <w:rPr>
          <w:i/>
          <w:color w:val="333333"/>
          <w:sz w:val="19"/>
        </w:rPr>
        <w:t>Mild steel corrosion decreased across the month, while copper corrosion decreased across the month.</w:t>
      </w:r>
      <w:r>
        <w:br/>
      </w:r>
      <w:r>
        <w:rPr>
          <w:i/>
          <w:color w:val="333333"/>
          <w:sz w:val="19"/>
        </w:rPr>
        <w:t>The monthly averages were MS 1.102 MPY and Cu 0.025 MPY when data was available.</w:t>
      </w:r>
      <w:r>
        <w:br/>
      </w:r>
      <w:r>
        <w:rPr>
          <w:i/>
          <w:color w:val="333333"/>
          <w:sz w:val="19"/>
        </w:rPr>
        <w:t>MS was within the 3.0 MPY target, and Cu was within the 0.5 MPY target.</w:t>
      </w:r>
      <w:r>
        <w:br/>
      </w:r>
      <w:r>
        <w:rPr>
          <w:i/>
          <w:color w:val="333333"/>
          <w:sz w:val="19"/>
        </w:rPr>
        <w:t>The pattern should continue to be monitored for any sustained upward corrosion movement.</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b/>
          <w:i/>
          <w:color w:val="333333"/>
          <w:sz w:val="19"/>
        </w:rPr>
        <w:t xml:space="preserve">Comment: </w:t>
      </w:r>
      <w:r>
        <w:rPr>
          <w:i/>
          <w:color w:val="333333"/>
          <w:sz w:val="19"/>
        </w:rPr>
        <w:t>Traced Product decreased across the month.</w:t>
      </w:r>
      <w:r>
        <w:br/>
      </w:r>
      <w:r>
        <w:rPr>
          <w:i/>
          <w:color w:val="333333"/>
          <w:sz w:val="19"/>
        </w:rPr>
        <w:t>The trend moved from about 92.9 ppm at the start to 90.9 ppm at the end.</w:t>
      </w:r>
      <w:r>
        <w:br/>
      </w:r>
      <w:r>
        <w:rPr>
          <w:i/>
          <w:color w:val="333333"/>
          <w:sz w:val="19"/>
        </w:rPr>
        <w:t>The Traced Product average was above the configured range. The monthly in-range performance was 41.3%.</w:t>
      </w:r>
      <w:r>
        <w:br/>
      </w:r>
      <w:r>
        <w:rPr>
          <w:i/>
          <w:color w:val="333333"/>
          <w:sz w:val="19"/>
        </w:rPr>
        <w:t>This pattern indicates whether feed control is settling into the setpoint band or needs field review.</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b/>
          <w:i/>
          <w:color w:val="333333"/>
          <w:sz w:val="19"/>
        </w:rPr>
        <w:t xml:space="preserve">Comment: </w:t>
      </w:r>
      <w:r>
        <w:rPr>
          <w:i/>
          <w:color w:val="333333"/>
          <w:sz w:val="19"/>
        </w:rPr>
        <w:t>ORP showed a visible spike response pattern during the month.</w:t>
      </w:r>
      <w:r>
        <w:br/>
      </w:r>
      <w:r>
        <w:rPr>
          <w:i/>
          <w:color w:val="333333"/>
          <w:sz w:val="19"/>
        </w:rPr>
        <w:t>The ORP pattern increased across the month without using absolute ORP values.</w:t>
      </w:r>
      <w:r>
        <w:br/>
      </w:r>
      <w:r>
        <w:rPr>
          <w:i/>
          <w:color w:val="333333"/>
          <w:sz w:val="19"/>
        </w:rPr>
        <w:t>Copper corrosion decreased across the month while the ORP pattern changed.</w:t>
      </w:r>
      <w:r>
        <w:br/>
      </w:r>
      <w:r>
        <w:rPr>
          <w:i/>
          <w:color w:val="333333"/>
          <w:sz w:val="19"/>
        </w:rPr>
        <w:t>This pattern helps confirm whether biocide response is consistent without creating a corrosion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40" w:after="200"/>
      </w:pPr>
      <w:r>
        <w:rPr>
          <w:b/>
          <w:i/>
          <w:color w:val="333333"/>
          <w:sz w:val="19"/>
        </w:rPr>
        <w:t xml:space="preserve">Comment: </w:t>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Copper corrosion decreased across the month during the same period.</w:t>
      </w:r>
      <w:r>
        <w:br/>
      </w:r>
      <w:r>
        <w:rPr>
          <w:i/>
          <w:color w:val="333333"/>
          <w:sz w:val="19"/>
        </w:rPr>
        <w:t>The pattern should be reviewed with service observations to confirm feed timing and corrosion stability.</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b/>
          <w:i/>
          <w:color w:val="333333"/>
          <w:sz w:val="19"/>
        </w:rPr>
        <w:t xml:space="preserve">Comment: </w:t>
      </w:r>
      <w:r>
        <w:rPr>
          <w:i/>
          <w:color w:val="333333"/>
          <w:sz w:val="19"/>
        </w:rPr>
        <w:t>Conductivity decreased across the month.</w:t>
      </w:r>
      <w:r>
        <w:br/>
      </w:r>
      <w:r>
        <w:rPr>
          <w:i/>
          <w:color w:val="333333"/>
          <w:sz w:val="19"/>
        </w:rPr>
        <w:t>The trend moved from about 896.8 uS/cm at the start to 884.5 uS/cm at the end.</w:t>
      </w:r>
      <w:r>
        <w:br/>
      </w:r>
      <w:r>
        <w:rPr>
          <w:i/>
          <w:color w:val="333333"/>
          <w:sz w:val="19"/>
        </w:rPr>
        <w:t>The conductivity average was below the configured range. The monthly in-range performance was 20.2%.</w:t>
      </w:r>
      <w:r>
        <w:br/>
      </w:r>
      <w:r>
        <w:rPr>
          <w:i/>
          <w:color w:val="333333"/>
          <w:sz w:val="19"/>
        </w:rPr>
        <w:t>This pattern indicates whether cycles, makeup, blowdown, or dilution behavior needs follow-up.</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