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St. Joseph's Hospital Savannah GA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St. Joseph's Hospital Savannah GA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84253FAB8CC5</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St. Joseph's Hospital Savannah GA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24 August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0.1007 MPY against the target of within 3.0 MPY, and the average copper corrosion rate was 0.0509 MPY against the target of within 0.5 MPY. Status: Excellent. Corrosion control was Excellent because both metals remained well below their target limits during the August reporting period. Mild steel and copper corrosion both decreased across the month, indicating inhibitor residual and operating chemistry kept corrosion protected.</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Status: Acceptable. Traced Product was within the Controller Setpoint control range for 52.9% of the reporting month. Polymer consumption rate averaged 75.7% and decreased from 77.6% at the start of the month to 75.3% at the end of the month. End-of-month Traced Product was 5.1% higher than the setpoint, so the pump stroke will be reduced during the upcoming service visit. Conductivity remained stable and maintained within its setpoint configuration range, so the Traced Product deviation is not linked to water loss or dilution and should be addressed through product control optimisation.</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field data for this reporting period and will be checked during the upcoming service visit. The August service note reported low ORP and a negative probe reading, with a recommendation to inspect the probe and check for blockage in the system. ORP did not show a strong spike response pattern, but biocide relay activity was present, supporting an Acceptable microbial control status pending field FRC and dip-slide confirmation.</w:t>
      </w:r>
    </w:p>
    <w:p>
      <w:pPr>
        <w:spacing w:before="80" w:after="120"/>
        <w:jc w:val="left"/>
      </w:pPr>
      <w:r>
        <w:rPr>
          <w:b w:val="0"/>
          <w:i w:val="0"/>
          <w:sz w:val="20"/>
        </w:rPr>
        <w:t>Dip-slide analysis reported 7 CFU/mL, indicating excellent microbial control.</w:t>
      </w:r>
    </w:p>
    <w:p>
      <w:pPr>
        <w:spacing w:before="200" w:after="60"/>
      </w:pPr>
      <w:r>
        <w:rPr>
          <w:b/>
          <w:color w:val="005F58"/>
          <w:sz w:val="26"/>
        </w:rPr>
        <w:t>Water Efficiency</w:t>
      </w:r>
    </w:p>
    <w:p>
      <w:pPr>
        <w:spacing w:before="60" w:after="100"/>
      </w:pPr>
      <w:r>
        <w:rPr>
          <w:b/>
          <w:sz w:val="20"/>
        </w:rPr>
        <w:t xml:space="preserve">Status: </w:t>
      </w:r>
      <w:r>
        <w:rPr>
          <w:b/>
          <w:color w:val="00857C"/>
          <w:sz w:val="20"/>
        </w:rPr>
        <w:t>Excellent</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1928"/>
            <w:shd w:val="clear" w:color="auto" w:fill="00857C"/>
          </w:tcPr>
          <w:p>
            <w:pPr>
              <w:spacing w:before="60" w:after="60"/>
            </w:pPr>
            <w:r>
              <w:rPr>
                <w:b/>
                <w:color w:val="FFFFFF"/>
                <w:sz w:val="18"/>
              </w:rPr>
              <w:t>MU Conductivity</w:t>
            </w:r>
          </w:p>
        </w:tc>
        <w:tc>
          <w:tcPr>
            <w:tcW w:type="dxa" w:w="1928"/>
            <w:shd w:val="clear" w:color="auto" w:fill="00857C"/>
          </w:tcPr>
          <w:p>
            <w:pPr>
              <w:spacing w:before="60" w:after="60"/>
            </w:pPr>
            <w:r>
              <w:rPr>
                <w:b/>
                <w:color w:val="FFFFFF"/>
                <w:sz w:val="18"/>
              </w:rPr>
              <w:t>Target COC</w:t>
            </w:r>
          </w:p>
        </w:tc>
        <w:tc>
          <w:tcPr>
            <w:tcW w:type="dxa" w:w="1928"/>
            <w:shd w:val="clear" w:color="auto" w:fill="00857C"/>
          </w:tcPr>
          <w:p>
            <w:pPr>
              <w:spacing w:before="60" w:after="60"/>
            </w:pPr>
            <w:r>
              <w:rPr>
                <w:b/>
                <w:color w:val="FFFFFF"/>
                <w:sz w:val="18"/>
              </w:rPr>
              <w:t>Actual COC</w:t>
            </w:r>
          </w:p>
        </w:tc>
        <w:tc>
          <w:tcPr>
            <w:tcW w:type="dxa" w:w="1928"/>
            <w:shd w:val="clear" w:color="auto" w:fill="00857C"/>
          </w:tcPr>
          <w:p>
            <w:pPr>
              <w:spacing w:before="60" w:after="60"/>
            </w:pPr>
            <w:r>
              <w:rPr>
                <w:b/>
                <w:color w:val="FFFFFF"/>
                <w:sz w:val="18"/>
              </w:rPr>
              <w:t>Deviation</w:t>
            </w:r>
          </w:p>
        </w:tc>
        <w:tc>
          <w:tcPr>
            <w:tcW w:type="dxa" w:w="1928"/>
            <w:shd w:val="clear" w:color="auto" w:fill="00857C"/>
          </w:tcPr>
          <w:p>
            <w:pPr>
              <w:spacing w:before="60" w:after="60"/>
            </w:pPr>
            <w:r>
              <w:rPr>
                <w:b/>
                <w:color w:val="FFFFFF"/>
                <w:sz w:val="18"/>
              </w:rPr>
              <w:t>Status</w:t>
            </w:r>
          </w:p>
        </w:tc>
      </w:tr>
      <w:tr>
        <w:tc>
          <w:tcPr>
            <w:tcW w:type="dxa" w:w="1928"/>
            <w:shd w:val="clear" w:color="auto" w:fill="FFFFFF"/>
          </w:tcPr>
          <w:p>
            <w:pPr>
              <w:spacing w:before="60" w:after="60"/>
            </w:pPr>
            <w:r>
              <w:rPr>
                <w:sz w:val="18"/>
              </w:rPr>
              <w:t>224.4 µS/cm</w:t>
            </w:r>
          </w:p>
        </w:tc>
        <w:tc>
          <w:tcPr>
            <w:tcW w:type="dxa" w:w="1928"/>
            <w:shd w:val="clear" w:color="auto" w:fill="FFFFFF"/>
          </w:tcPr>
          <w:p>
            <w:pPr>
              <w:spacing w:before="60" w:after="60"/>
            </w:pPr>
            <w:r>
              <w:rPr>
                <w:sz w:val="18"/>
              </w:rPr>
              <w:t>2.67</w:t>
            </w:r>
          </w:p>
        </w:tc>
        <w:tc>
          <w:tcPr>
            <w:tcW w:type="dxa" w:w="1928"/>
            <w:shd w:val="clear" w:color="auto" w:fill="FFFFFF"/>
          </w:tcPr>
          <w:p>
            <w:pPr>
              <w:spacing w:before="60" w:after="60"/>
            </w:pPr>
            <w:r>
              <w:rPr>
                <w:sz w:val="18"/>
              </w:rPr>
              <w:t>2.66</w:t>
            </w:r>
          </w:p>
        </w:tc>
        <w:tc>
          <w:tcPr>
            <w:tcW w:type="dxa" w:w="1928"/>
            <w:shd w:val="clear" w:color="auto" w:fill="FFFFFF"/>
          </w:tcPr>
          <w:p>
            <w:pPr>
              <w:spacing w:before="60" w:after="60"/>
            </w:pPr>
            <w:r>
              <w:rPr>
                <w:sz w:val="18"/>
              </w:rPr>
              <w:t>0.6%</w:t>
            </w:r>
          </w:p>
        </w:tc>
        <w:tc>
          <w:tcPr>
            <w:tcW w:type="dxa" w:w="1928"/>
            <w:shd w:val="clear" w:color="auto" w:fill="FFFFFF"/>
          </w:tcPr>
          <w:p>
            <w:pPr>
              <w:spacing w:before="60" w:after="60"/>
            </w:pPr>
            <w:r>
              <w:rPr>
                <w:sz w:val="18"/>
              </w:rPr>
              <w:t>Excellent</w:t>
            </w:r>
          </w:p>
        </w:tc>
      </w:tr>
    </w:tbl>
    <w:p/>
    <w:p>
      <w:pPr>
        <w:spacing w:before="80" w:after="120"/>
        <w:jc w:val="left"/>
      </w:pPr>
      <w:r>
        <w:rPr>
          <w:b w:val="0"/>
          <w:i w:val="0"/>
          <w:sz w:val="20"/>
        </w:rPr>
        <w:t>Water efficiency was Excellent. Conductivity averaged 596.12 uS/cm against the 570.00-630.00 uS/cm Controller Setpoint range, with 78.8% of readings in range. Conductivity remained stable from about 597.7 uS/cm early in the month to 594.5 uS/cm later in the month. Makeup and blowdown control appear balanced, so tower cycles remained steady.</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continued attention because Traced Product was within the Controller Setpoint range for 52.9% of the reporting month. Polymer consumption rate averaged 75.7%, so phosphate, silica, and product residuals should be verified during the next service visit. Because conductivity was maintained, the product-control review should focus on residual confirmation, pump delivery, fluorometer calibration, and control optimisation rather than water loss.</w:t>
      </w:r>
    </w:p>
    <w:p>
      <w:pPr>
        <w:spacing w:before="200" w:after="60"/>
      </w:pPr>
      <w:r>
        <w:rPr>
          <w:b/>
          <w:color w:val="005F58"/>
          <w:sz w:val="26"/>
        </w:rPr>
        <w:t>Proactive System Support</w:t>
      </w:r>
    </w:p>
    <w:p>
      <w:pPr>
        <w:spacing w:before="80" w:after="120"/>
        <w:jc w:val="left"/>
      </w:pPr>
      <w:r>
        <w:rPr>
          <w:b w:val="0"/>
          <w:i w:val="0"/>
          <w:sz w:val="20"/>
        </w:rPr>
        <w:t>The August service note documented low ORP and a negative probe reading, with a recommendation to inspect the probe and check for blockage in the system. Recommended follow-up: Traced Product was not maintained, so review product feed delivery, pump stroke, inventory, and fluorometer calibration. Check FRC during the upcoming service visit to confirm oxidizing biocide residual. Verify phosphate and silica residuals against the polymer consumption trend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0.101</w:t>
            </w:r>
          </w:p>
        </w:tc>
        <w:tc>
          <w:tcPr>
            <w:tcW w:type="dxa" w:w="850"/>
            <w:shd w:val="clear" w:color="auto" w:fill="FFFFFF"/>
          </w:tcPr>
          <w:p>
            <w:pPr>
              <w:spacing w:before="60" w:after="60"/>
            </w:pPr>
            <w:r>
              <w:rPr>
                <w:sz w:val="18"/>
              </w:rPr>
              <w:t>0.012</w:t>
            </w:r>
          </w:p>
        </w:tc>
        <w:tc>
          <w:tcPr>
            <w:tcW w:type="dxa" w:w="794"/>
            <w:shd w:val="clear" w:color="auto" w:fill="FFFFFF"/>
          </w:tcPr>
          <w:p>
            <w:pPr>
              <w:spacing w:before="60" w:after="60"/>
            </w:pPr>
            <w:r>
              <w:rPr>
                <w:sz w:val="18"/>
              </w:rPr>
              <w:t>0.100</w:t>
            </w:r>
          </w:p>
        </w:tc>
        <w:tc>
          <w:tcPr>
            <w:tcW w:type="dxa" w:w="794"/>
            <w:shd w:val="clear" w:color="auto" w:fill="FFFFFF"/>
          </w:tcPr>
          <w:p>
            <w:pPr>
              <w:spacing w:before="60" w:after="60"/>
            </w:pPr>
            <w:r>
              <w:rPr>
                <w:sz w:val="18"/>
              </w:rPr>
              <w:t>0.326</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0.051</w:t>
            </w:r>
          </w:p>
        </w:tc>
        <w:tc>
          <w:tcPr>
            <w:tcW w:type="dxa" w:w="850"/>
            <w:shd w:val="clear" w:color="auto" w:fill="F2F8F7"/>
          </w:tcPr>
          <w:p>
            <w:pPr>
              <w:spacing w:before="60" w:after="60"/>
            </w:pPr>
            <w:r>
              <w:rPr>
                <w:sz w:val="18"/>
              </w:rPr>
              <w:t>0.048</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0.478</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45.115</w:t>
            </w:r>
          </w:p>
        </w:tc>
        <w:tc>
          <w:tcPr>
            <w:tcW w:type="dxa" w:w="850"/>
            <w:shd w:val="clear" w:color="auto" w:fill="FFFFFF"/>
          </w:tcPr>
          <w:p>
            <w:pPr>
              <w:spacing w:before="60" w:after="60"/>
            </w:pPr>
            <w:r>
              <w:rPr>
                <w:sz w:val="18"/>
              </w:rPr>
              <w:t>3.414</w:t>
            </w:r>
          </w:p>
        </w:tc>
        <w:tc>
          <w:tcPr>
            <w:tcW w:type="dxa" w:w="794"/>
            <w:shd w:val="clear" w:color="auto" w:fill="FFFFFF"/>
          </w:tcPr>
          <w:p>
            <w:pPr>
              <w:spacing w:before="60" w:after="60"/>
            </w:pPr>
            <w:r>
              <w:rPr>
                <w:sz w:val="18"/>
              </w:rPr>
              <w:t>39.905</w:t>
            </w:r>
          </w:p>
        </w:tc>
        <w:tc>
          <w:tcPr>
            <w:tcW w:type="dxa" w:w="794"/>
            <w:shd w:val="clear" w:color="auto" w:fill="FFFFFF"/>
          </w:tcPr>
          <w:p>
            <w:pPr>
              <w:spacing w:before="60" w:after="60"/>
            </w:pPr>
            <w:r>
              <w:rPr>
                <w:sz w:val="18"/>
              </w:rPr>
              <w:t>100.317</w:t>
            </w:r>
          </w:p>
        </w:tc>
        <w:tc>
          <w:tcPr>
            <w:tcW w:type="dxa" w:w="964"/>
            <w:shd w:val="clear" w:color="auto" w:fill="FFFFFF"/>
          </w:tcPr>
          <w:p>
            <w:pPr>
              <w:spacing w:before="60" w:after="60"/>
            </w:pPr>
            <w:r>
              <w:rPr>
                <w:sz w:val="18"/>
              </w:rPr>
              <w:t>40.9</w:t>
            </w:r>
          </w:p>
        </w:tc>
        <w:tc>
          <w:tcPr>
            <w:tcW w:type="dxa" w:w="964"/>
            <w:shd w:val="clear" w:color="auto" w:fill="FFFFFF"/>
          </w:tcPr>
          <w:p>
            <w:pPr>
              <w:spacing w:before="60" w:after="60"/>
            </w:pPr>
            <w:r>
              <w:rPr>
                <w:sz w:val="18"/>
              </w:rPr>
              <w:t>45.1</w:t>
            </w:r>
          </w:p>
        </w:tc>
        <w:tc>
          <w:tcPr>
            <w:tcW w:type="dxa" w:w="1020"/>
            <w:shd w:val="clear" w:color="auto" w:fill="FFFFFF"/>
          </w:tcPr>
          <w:p>
            <w:pPr>
              <w:spacing w:before="60" w:after="60"/>
            </w:pPr>
            <w:r>
              <w:rPr>
                <w:sz w:val="18"/>
              </w:rPr>
              <w:t>52.9%</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596.115</w:t>
            </w:r>
          </w:p>
        </w:tc>
        <w:tc>
          <w:tcPr>
            <w:tcW w:type="dxa" w:w="850"/>
            <w:shd w:val="clear" w:color="auto" w:fill="F2F8F7"/>
          </w:tcPr>
          <w:p>
            <w:pPr>
              <w:spacing w:before="60" w:after="60"/>
            </w:pPr>
            <w:r>
              <w:rPr>
                <w:sz w:val="18"/>
              </w:rPr>
              <w:t>23.463</w:t>
            </w:r>
          </w:p>
        </w:tc>
        <w:tc>
          <w:tcPr>
            <w:tcW w:type="dxa" w:w="794"/>
            <w:shd w:val="clear" w:color="auto" w:fill="F2F8F7"/>
          </w:tcPr>
          <w:p>
            <w:pPr>
              <w:spacing w:before="60" w:after="60"/>
            </w:pPr>
            <w:r>
              <w:rPr>
                <w:sz w:val="18"/>
              </w:rPr>
              <w:t>495.878</w:t>
            </w:r>
          </w:p>
        </w:tc>
        <w:tc>
          <w:tcPr>
            <w:tcW w:type="dxa" w:w="794"/>
            <w:shd w:val="clear" w:color="auto" w:fill="F2F8F7"/>
          </w:tcPr>
          <w:p>
            <w:pPr>
              <w:spacing w:before="60" w:after="60"/>
            </w:pPr>
            <w:r>
              <w:rPr>
                <w:sz w:val="18"/>
              </w:rPr>
              <w:t>684.975</w:t>
            </w:r>
          </w:p>
        </w:tc>
        <w:tc>
          <w:tcPr>
            <w:tcW w:type="dxa" w:w="964"/>
            <w:shd w:val="clear" w:color="auto" w:fill="F2F8F7"/>
          </w:tcPr>
          <w:p>
            <w:pPr>
              <w:spacing w:before="60" w:after="60"/>
            </w:pPr>
            <w:r>
              <w:rPr>
                <w:sz w:val="18"/>
              </w:rPr>
              <w:t>570</w:t>
            </w:r>
          </w:p>
        </w:tc>
        <w:tc>
          <w:tcPr>
            <w:tcW w:type="dxa" w:w="964"/>
            <w:shd w:val="clear" w:color="auto" w:fill="F2F8F7"/>
          </w:tcPr>
          <w:p>
            <w:pPr>
              <w:spacing w:before="60" w:after="60"/>
            </w:pPr>
            <w:r>
              <w:rPr>
                <w:sz w:val="18"/>
              </w:rPr>
              <w:t>630</w:t>
            </w:r>
          </w:p>
        </w:tc>
        <w:tc>
          <w:tcPr>
            <w:tcW w:type="dxa" w:w="1020"/>
            <w:shd w:val="clear" w:color="auto" w:fill="F2F8F7"/>
          </w:tcPr>
          <w:p>
            <w:pPr>
              <w:spacing w:before="60" w:after="60"/>
            </w:pPr>
            <w:r>
              <w:rPr>
                <w:sz w:val="18"/>
              </w:rPr>
              <w:t>78.8%</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9.301</w:t>
            </w:r>
          </w:p>
        </w:tc>
        <w:tc>
          <w:tcPr>
            <w:tcW w:type="dxa" w:w="850"/>
            <w:shd w:val="clear" w:color="auto" w:fill="FFFFFF"/>
          </w:tcPr>
          <w:p>
            <w:pPr>
              <w:spacing w:before="60" w:after="60"/>
            </w:pPr>
            <w:r>
              <w:rPr>
                <w:sz w:val="18"/>
              </w:rPr>
              <w:t>0.037</w:t>
            </w:r>
          </w:p>
        </w:tc>
        <w:tc>
          <w:tcPr>
            <w:tcW w:type="dxa" w:w="794"/>
            <w:shd w:val="clear" w:color="auto" w:fill="FFFFFF"/>
          </w:tcPr>
          <w:p>
            <w:pPr>
              <w:spacing w:before="60" w:after="60"/>
            </w:pPr>
            <w:r>
              <w:rPr>
                <w:sz w:val="18"/>
              </w:rPr>
              <w:t>9.101</w:t>
            </w:r>
          </w:p>
        </w:tc>
        <w:tc>
          <w:tcPr>
            <w:tcW w:type="dxa" w:w="794"/>
            <w:shd w:val="clear" w:color="auto" w:fill="FFFFFF"/>
          </w:tcPr>
          <w:p>
            <w:pPr>
              <w:spacing w:before="60" w:after="60"/>
            </w:pPr>
            <w:r>
              <w:rPr>
                <w:sz w:val="18"/>
              </w:rPr>
              <w:t>9.398</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42.501</w:t>
            </w:r>
          </w:p>
        </w:tc>
        <w:tc>
          <w:tcPr>
            <w:tcW w:type="dxa" w:w="850"/>
            <w:shd w:val="clear" w:color="auto" w:fill="F2F8F7"/>
          </w:tcPr>
          <w:p>
            <w:pPr>
              <w:spacing w:before="60" w:after="60"/>
            </w:pPr>
            <w:r>
              <w:rPr>
                <w:sz w:val="18"/>
              </w:rPr>
              <w:t>63.463</w:t>
            </w:r>
          </w:p>
        </w:tc>
        <w:tc>
          <w:tcPr>
            <w:tcW w:type="dxa" w:w="794"/>
            <w:shd w:val="clear" w:color="auto" w:fill="F2F8F7"/>
          </w:tcPr>
          <w:p>
            <w:pPr>
              <w:spacing w:before="60" w:after="60"/>
            </w:pPr>
            <w:r>
              <w:rPr>
                <w:sz w:val="18"/>
              </w:rPr>
              <w:t>-418.219</w:t>
            </w:r>
          </w:p>
        </w:tc>
        <w:tc>
          <w:tcPr>
            <w:tcW w:type="dxa" w:w="794"/>
            <w:shd w:val="clear" w:color="auto" w:fill="F2F8F7"/>
          </w:tcPr>
          <w:p>
            <w:pPr>
              <w:spacing w:before="60" w:after="60"/>
            </w:pPr>
            <w:r>
              <w:rPr>
                <w:sz w:val="18"/>
              </w:rPr>
              <w:t>212.546</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0.114</w:t>
            </w:r>
          </w:p>
        </w:tc>
        <w:tc>
          <w:tcPr>
            <w:tcW w:type="dxa" w:w="850"/>
            <w:shd w:val="clear" w:color="auto" w:fill="FFFFFF"/>
          </w:tcPr>
          <w:p>
            <w:pPr>
              <w:spacing w:before="60" w:after="60"/>
            </w:pPr>
            <w:r>
              <w:rPr>
                <w:sz w:val="18"/>
              </w:rPr>
              <w:t>1.230</w:t>
            </w:r>
          </w:p>
        </w:tc>
        <w:tc>
          <w:tcPr>
            <w:tcW w:type="dxa" w:w="794"/>
            <w:shd w:val="clear" w:color="auto" w:fill="FFFFFF"/>
          </w:tcPr>
          <w:p>
            <w:pPr>
              <w:spacing w:before="60" w:after="60"/>
            </w:pPr>
            <w:r>
              <w:rPr>
                <w:sz w:val="18"/>
              </w:rPr>
              <w:t>0.000</w:t>
            </w:r>
          </w:p>
        </w:tc>
        <w:tc>
          <w:tcPr>
            <w:tcW w:type="dxa" w:w="794"/>
            <w:shd w:val="clear" w:color="auto" w:fill="FFFFFF"/>
          </w:tcPr>
          <w:p>
            <w:pPr>
              <w:spacing w:before="60" w:after="60"/>
            </w:pPr>
            <w:r>
              <w:rPr>
                <w:sz w:val="18"/>
              </w:rPr>
              <w:t>23.572</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2.979</w:t>
            </w:r>
          </w:p>
        </w:tc>
        <w:tc>
          <w:tcPr>
            <w:tcW w:type="dxa" w:w="850"/>
            <w:shd w:val="clear" w:color="auto" w:fill="F2F8F7"/>
          </w:tcPr>
          <w:p>
            <w:pPr>
              <w:spacing w:before="60" w:after="60"/>
            </w:pPr>
            <w:r>
              <w:rPr>
                <w:sz w:val="18"/>
              </w:rPr>
              <w:t>2.065</w:t>
            </w:r>
          </w:p>
        </w:tc>
        <w:tc>
          <w:tcPr>
            <w:tcW w:type="dxa" w:w="794"/>
            <w:shd w:val="clear" w:color="auto" w:fill="F2F8F7"/>
          </w:tcPr>
          <w:p>
            <w:pPr>
              <w:spacing w:before="60" w:after="60"/>
            </w:pPr>
            <w:r>
              <w:rPr>
                <w:sz w:val="18"/>
              </w:rPr>
              <w:t>0.609</w:t>
            </w:r>
          </w:p>
        </w:tc>
        <w:tc>
          <w:tcPr>
            <w:tcW w:type="dxa" w:w="794"/>
            <w:shd w:val="clear" w:color="auto" w:fill="F2F8F7"/>
          </w:tcPr>
          <w:p>
            <w:pPr>
              <w:spacing w:before="60" w:after="60"/>
            </w:pPr>
            <w:r>
              <w:rPr>
                <w:sz w:val="18"/>
              </w:rPr>
              <w:t>17.275</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4849"/>
            <wp:docPr id="1" name="Picture 1"/>
            <wp:cNvGraphicFramePr>
              <a:graphicFrameLocks noChangeAspect="1"/>
            </wp:cNvGraphicFramePr>
            <a:graphic>
              <a:graphicData uri="http://schemas.openxmlformats.org/drawingml/2006/picture">
                <pic:pic>
                  <pic:nvPicPr>
                    <pic:cNvPr id="0" name="st_joseph_s_hospital_savannah_ga_us_august_2026_corrosion.png"/>
                    <pic:cNvPicPr/>
                  </pic:nvPicPr>
                  <pic:blipFill>
                    <a:blip r:embed="rId11"/>
                    <a:stretch>
                      <a:fillRect/>
                    </a:stretch>
                  </pic:blipFill>
                  <pic:spPr>
                    <a:xfrm>
                      <a:off x="0" y="0"/>
                      <a:ext cx="5486400" cy="2584849"/>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decreasing, but remains good against the target.</w:t>
      </w:r>
      <w:r>
        <w:br/>
      </w:r>
      <w:r>
        <w:rPr>
          <w:i/>
          <w:color w:val="333333"/>
          <w:sz w:val="19"/>
        </w:rPr>
        <w:t>Mild steel corrosion decreased across the month, while copper corrosion decreased across the month.</w:t>
      </w:r>
      <w:r>
        <w:br/>
      </w:r>
      <w:r>
        <w:rPr>
          <w:i/>
          <w:color w:val="333333"/>
          <w:sz w:val="19"/>
        </w:rPr>
        <w:t>MS was within the 3.0 MPY target, and Cu was within the 0.5 MPY target.</w:t>
      </w:r>
      <w:r>
        <w:br/>
      </w:r>
      <w:r>
        <w:rPr>
          <w:i/>
          <w:color w:val="333333"/>
          <w:sz w:val="19"/>
        </w:rPr>
        <w:t>Likely reason: inhibitor residual and operating chemistry are keeping corrosion protected.</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st_joseph_s_hospital_savannah_ga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trend moved from about 45.0 ppm at the start to 45.2 ppm at the end.</w:t>
      </w:r>
      <w:r>
        <w:br/>
      </w:r>
      <w:r>
        <w:rPr>
          <w:i/>
          <w:color w:val="333333"/>
          <w:sz w:val="19"/>
        </w:rPr>
        <w:t>The Traced Product average was within the configured range. The monthly in-range performance was 52.9%.</w:t>
      </w:r>
      <w:r>
        <w:br/>
      </w:r>
      <w:r>
        <w:rPr>
          <w:i/>
          <w:color w:val="333333"/>
          <w:sz w:val="19"/>
        </w:rPr>
        <w:t>Likely reason: chemical feed and tower cycles are balanced, so scale control remains steady.</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st_joseph_s_hospital_savannah_ga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increasing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st_joseph_s_hospital_savannah_ga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decreased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78283"/>
            <wp:docPr id="5" name="Picture 5"/>
            <wp:cNvGraphicFramePr>
              <a:graphicFrameLocks noChangeAspect="1"/>
            </wp:cNvGraphicFramePr>
            <a:graphic>
              <a:graphicData uri="http://schemas.openxmlformats.org/drawingml/2006/picture">
                <pic:pic>
                  <pic:nvPicPr>
                    <pic:cNvPr id="0" name="st_joseph_s_hospital_savannah_ga_us_august_2026_conductivity.png"/>
                    <pic:cNvPicPr/>
                  </pic:nvPicPr>
                  <pic:blipFill>
                    <a:blip r:embed="rId15"/>
                    <a:stretch>
                      <a:fillRect/>
                    </a:stretch>
                  </pic:blipFill>
                  <pic:spPr>
                    <a:xfrm>
                      <a:off x="0" y="0"/>
                      <a:ext cx="5486400" cy="2578283"/>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remains good and stable across the month.</w:t>
      </w:r>
      <w:r>
        <w:br/>
      </w:r>
      <w:r>
        <w:rPr>
          <w:i/>
          <w:color w:val="333333"/>
          <w:sz w:val="19"/>
        </w:rPr>
        <w:t>The trend moved from about 597.7 µS/cm at the start to 594.5 µS/cm at the end.</w:t>
      </w:r>
      <w:r>
        <w:br/>
      </w:r>
      <w:r>
        <w:rPr>
          <w:i/>
          <w:color w:val="333333"/>
          <w:sz w:val="19"/>
        </w:rPr>
        <w:t>The conductivity average was within the configured range. The monthly in-range performance was 78.8%.</w:t>
      </w:r>
      <w:r>
        <w:br/>
      </w:r>
      <w:r>
        <w:rPr>
          <w:i/>
          <w:color w:val="333333"/>
          <w:sz w:val="19"/>
        </w:rPr>
        <w:t>Likely reason: makeup and blowdown control are balanced, so tower cycles remained steady.</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St. Joseph showed Excellent corrosion control and water efficiency, with Acceptable scale and microbial control. The main follow-up items are to inspect the ORP probe and possible blockage, confirm FRC and dip-slide results, and continue improving Traced Product consistency while conductivity remains stable.</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St. Joseph's Hospital Savannah GA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