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60"/>
        <w:jc w:val="center"/>
      </w:pPr>
      <w:r>
        <w:rPr>
          <w:b/>
          <w:i w:val="0"/>
          <w:color w:val="444444"/>
          <w:sz w:val="20"/>
        </w:rPr>
        <w:t>BUCKMAN DIGITAL WATER</w:t>
      </w:r>
    </w:p>
    <w:p>
      <w:pPr>
        <w:spacing w:before="60" w:after="60"/>
        <w:jc w:val="center"/>
      </w:pPr>
      <w:r>
        <w:rPr>
          <w:b/>
          <w:i w:val="0"/>
          <w:sz w:val="40"/>
        </w:rPr>
        <w:t>Monthly Cooling Water Performance Report</w:t>
      </w:r>
    </w:p>
    <w:p>
      <w:pPr>
        <w:spacing w:before="60" w:after="200"/>
        <w:jc w:val="center"/>
      </w:pPr>
      <w:r>
        <w:rPr>
          <w:b/>
          <w:i w:val="0"/>
          <w:color w:val="00857C"/>
          <w:sz w:val="30"/>
        </w:rPr>
        <w:t>St. Joseph's Hospital Savannah GA (US)</w:t>
      </w:r>
    </w:p>
    <w:p>
      <w:pPr>
        <w:spacing w:before="60" w:after="360"/>
        <w:jc w:val="center"/>
      </w:pPr>
      <w:r>
        <w:rPr>
          <w:b w:val="0"/>
          <w:i w:val="0"/>
          <w:color w:val="444444"/>
          <w:sz w:val="20"/>
        </w:rPr>
        <w:t>Reporting Month: July 2026</w:t>
      </w:r>
    </w:p>
    <w:tbl>
      <w:tblPr>
        <w:tblStyle w:val="TableGrid"/>
        <w:tblW w:type="auto" w:w="0"/>
        <w:tblLook w:firstColumn="1" w:firstRow="1" w:lastColumn="0" w:lastRow="0" w:noHBand="0" w:noVBand="1" w:val="04A0"/>
      </w:tblPr>
      <w:tblGrid>
        <w:gridCol w:w="2521"/>
        <w:gridCol w:w="2521"/>
        <w:gridCol w:w="2521"/>
        <w:gridCol w:w="2521"/>
      </w:tblGrid>
      <w:tr>
        <w:tc>
          <w:tcPr>
            <w:tcW w:type="dxa" w:w="3118"/>
            <w:shd w:val="clear" w:color="auto" w:fill="00857C"/>
          </w:tcPr>
          <w:p>
            <w:pPr>
              <w:spacing w:before="60" w:after="60"/>
            </w:pPr>
            <w:r>
              <w:rPr>
                <w:b/>
                <w:color w:val="FFFFFF"/>
                <w:sz w:val="18"/>
              </w:rPr>
              <w:t>Customer / Site</w:t>
            </w:r>
          </w:p>
        </w:tc>
        <w:tc>
          <w:tcPr>
            <w:tcW w:type="dxa" w:w="1701"/>
            <w:shd w:val="clear" w:color="auto" w:fill="00857C"/>
          </w:tcPr>
          <w:p>
            <w:pPr>
              <w:spacing w:before="60" w:after="60"/>
            </w:pPr>
            <w:r>
              <w:rPr>
                <w:b/>
                <w:color w:val="FFFFFF"/>
                <w:sz w:val="18"/>
              </w:rPr>
              <w:t>System</w:t>
            </w:r>
          </w:p>
        </w:tc>
        <w:tc>
          <w:tcPr>
            <w:tcW w:type="dxa" w:w="1984"/>
            <w:shd w:val="clear" w:color="auto" w:fill="00857C"/>
          </w:tcPr>
          <w:p>
            <w:pPr>
              <w:spacing w:before="60" w:after="60"/>
            </w:pPr>
            <w:r>
              <w:rPr>
                <w:b/>
                <w:color w:val="FFFFFF"/>
                <w:sz w:val="18"/>
              </w:rPr>
              <w:t>Controller</w:t>
            </w:r>
          </w:p>
        </w:tc>
        <w:tc>
          <w:tcPr>
            <w:tcW w:type="dxa" w:w="2551"/>
            <w:shd w:val="clear" w:color="auto" w:fill="00857C"/>
          </w:tcPr>
          <w:p>
            <w:pPr>
              <w:spacing w:before="60" w:after="60"/>
            </w:pPr>
            <w:r>
              <w:rPr>
                <w:b/>
                <w:color w:val="FFFFFF"/>
                <w:sz w:val="18"/>
              </w:rPr>
              <w:t>Prepared For</w:t>
            </w:r>
          </w:p>
        </w:tc>
      </w:tr>
      <w:tr>
        <w:tc>
          <w:tcPr>
            <w:tcW w:type="dxa" w:w="3118"/>
            <w:shd w:val="clear" w:color="auto" w:fill="FFFFFF"/>
          </w:tcPr>
          <w:p>
            <w:pPr>
              <w:spacing w:before="60" w:after="60"/>
            </w:pPr>
            <w:r>
              <w:rPr>
                <w:sz w:val="18"/>
              </w:rPr>
              <w:t>St. Joseph's Hospital Savannah GA (US)</w:t>
            </w:r>
          </w:p>
        </w:tc>
        <w:tc>
          <w:tcPr>
            <w:tcW w:type="dxa" w:w="1701"/>
            <w:shd w:val="clear" w:color="auto" w:fill="FFFFFF"/>
          </w:tcPr>
          <w:p>
            <w:pPr>
              <w:spacing w:before="60" w:after="60"/>
            </w:pPr>
            <w:r>
              <w:rPr>
                <w:sz w:val="18"/>
              </w:rPr>
              <w:t>Cooling Tower</w:t>
            </w:r>
          </w:p>
        </w:tc>
        <w:tc>
          <w:tcPr>
            <w:tcW w:type="dxa" w:w="1984"/>
            <w:shd w:val="clear" w:color="auto" w:fill="FFFFFF"/>
          </w:tcPr>
          <w:p>
            <w:pPr>
              <w:spacing w:before="60" w:after="60"/>
            </w:pPr>
            <w:r>
              <w:rPr>
                <w:sz w:val="18"/>
              </w:rPr>
              <w:t>84253FAB8CC5</w:t>
            </w:r>
          </w:p>
        </w:tc>
        <w:tc>
          <w:tcPr>
            <w:tcW w:type="dxa" w:w="2551"/>
            <w:shd w:val="clear" w:color="auto" w:fill="FFFFFF"/>
          </w:tcPr>
          <w:p>
            <w:pPr>
              <w:spacing w:before="60" w:after="60"/>
            </w:pPr>
            <w:r>
              <w:rPr>
                <w:sz w:val="18"/>
              </w:rPr>
              <w:t>Monthly Performance Review</w:t>
            </w:r>
          </w:p>
        </w:tc>
      </w:tr>
    </w:tbl>
    <w:p/>
    <w:p>
      <w:pPr>
        <w:spacing w:before="200" w:after="120"/>
        <w:jc w:val="left"/>
      </w:pPr>
    </w:p>
    <w:p>
      <w:pPr>
        <w:spacing w:before="80" w:after="120"/>
        <w:jc w:val="center"/>
      </w:pPr>
      <w:r>
        <w:rPr>
          <w:b w:val="0"/>
          <w:i w:val="0"/>
          <w:color w:val="444444"/>
          <w:sz w:val="19"/>
        </w:rPr>
        <w:t>This report summarises corrosion control, scale control, microbial control, water efficiency, product efficiency, and proactive system support for St. Joseph's Hospital Savannah GA (US), July 2026, using controller setpoints, telemetry KPIs, field data, and service note records.</w:t>
      </w:r>
    </w:p>
    <w:p>
      <w:pPr>
        <w:spacing w:before="200" w:after="120"/>
        <w:jc w:val="left"/>
      </w:pPr>
    </w:p>
    <w:tbl>
      <w:tblPr>
        <w:tblStyle w:val="TableGrid"/>
        <w:tblW w:type="auto" w:w="0"/>
        <w:tblLook w:firstColumn="1" w:firstRow="1" w:lastColumn="0" w:lastRow="0" w:noHBand="0" w:noVBand="1" w:val="04A0"/>
      </w:tblPr>
      <w:tblGrid>
        <w:gridCol w:w="3362"/>
        <w:gridCol w:w="3362"/>
        <w:gridCol w:w="3362"/>
      </w:tblGrid>
      <w:tr>
        <w:tc>
          <w:tcPr>
            <w:tcW w:type="dxa" w:w="3118"/>
            <w:shd w:val="clear" w:color="auto" w:fill="00857C"/>
          </w:tcPr>
          <w:p>
            <w:pPr>
              <w:spacing w:before="60" w:after="60"/>
            </w:pPr>
            <w:r>
              <w:rPr>
                <w:b/>
                <w:color w:val="FFFFFF"/>
                <w:sz w:val="18"/>
              </w:rPr>
              <w:t>Prepared By</w:t>
            </w:r>
          </w:p>
        </w:tc>
        <w:tc>
          <w:tcPr>
            <w:tcW w:type="dxa" w:w="2835"/>
            <w:shd w:val="clear" w:color="auto" w:fill="00857C"/>
          </w:tcPr>
          <w:p>
            <w:pPr>
              <w:spacing w:before="60" w:after="60"/>
            </w:pPr>
            <w:r>
              <w:rPr>
                <w:b/>
                <w:color w:val="FFFFFF"/>
                <w:sz w:val="18"/>
              </w:rPr>
              <w:t>Prepared Date</w:t>
            </w:r>
          </w:p>
        </w:tc>
        <w:tc>
          <w:tcPr>
            <w:tcW w:type="dxa" w:w="3402"/>
            <w:shd w:val="clear" w:color="auto" w:fill="00857C"/>
          </w:tcPr>
          <w:p>
            <w:pPr>
              <w:spacing w:before="60" w:after="60"/>
            </w:pPr>
            <w:r>
              <w:rPr>
                <w:b/>
                <w:color w:val="FFFFFF"/>
                <w:sz w:val="18"/>
              </w:rPr>
              <w:t>Report Status</w:t>
            </w:r>
          </w:p>
        </w:tc>
      </w:tr>
      <w:tr>
        <w:tc>
          <w:tcPr>
            <w:tcW w:type="dxa" w:w="3118"/>
            <w:shd w:val="clear" w:color="auto" w:fill="FFFFFF"/>
          </w:tcPr>
          <w:p>
            <w:pPr>
              <w:spacing w:before="60" w:after="60"/>
            </w:pPr>
            <w:r>
              <w:rPr>
                <w:sz w:val="18"/>
              </w:rPr>
              <w:t>Buckman Digital Water</w:t>
            </w:r>
          </w:p>
        </w:tc>
        <w:tc>
          <w:tcPr>
            <w:tcW w:type="dxa" w:w="2835"/>
            <w:shd w:val="clear" w:color="auto" w:fill="FFFFFF"/>
          </w:tcPr>
          <w:p>
            <w:pPr>
              <w:spacing w:before="60" w:after="60"/>
            </w:pPr>
            <w:r>
              <w:rPr>
                <w:sz w:val="18"/>
              </w:rPr>
              <w:t>21 September 2026</w:t>
            </w:r>
          </w:p>
        </w:tc>
        <w:tc>
          <w:tcPr>
            <w:tcW w:type="dxa" w:w="3402"/>
            <w:shd w:val="clear" w:color="auto" w:fill="FFFFFF"/>
          </w:tcPr>
          <w:p>
            <w:pPr>
              <w:spacing w:before="60" w:after="60"/>
            </w:pPr>
            <w:r>
              <w:rPr>
                <w:sz w:val="18"/>
              </w:rPr>
              <w:t>Draft</w:t>
            </w:r>
          </w:p>
        </w:tc>
      </w:tr>
    </w:tbl>
    <w:p/>
    <w:p>
      <w:r>
        <w:br w:type="page"/>
      </w:r>
    </w:p>
    <w:p>
      <w:pPr>
        <w:pBdr>
          <w:bottom w:val="single" w:sz="8" w:space="4" w:color="00857C"/>
        </w:pBdr>
        <w:spacing w:before="280" w:after="80"/>
      </w:pPr>
      <w:r>
        <w:rPr>
          <w:b/>
          <w:color w:val="00857C"/>
          <w:sz w:val="32"/>
        </w:rPr>
        <w:t>Executive Summary</w:t>
      </w:r>
    </w:p>
    <w:p>
      <w:pPr>
        <w:spacing w:before="200" w:after="60"/>
      </w:pPr>
      <w:r>
        <w:rPr>
          <w:b/>
          <w:color w:val="005F58"/>
          <w:sz w:val="26"/>
        </w:rPr>
        <w:t>System Health Check</w:t>
      </w:r>
    </w:p>
    <w:p>
      <w:pPr>
        <w:spacing w:before="160" w:after="40"/>
      </w:pPr>
      <w:r>
        <w:rPr>
          <w:b/>
          <w:color w:val="222222"/>
          <w:sz w:val="22"/>
        </w:rPr>
        <w:t>Corrosion Control</w:t>
      </w:r>
    </w:p>
    <w:p>
      <w:pPr>
        <w:spacing w:before="60" w:after="100"/>
      </w:pPr>
      <w:r>
        <w:rPr>
          <w:b/>
          <w:sz w:val="20"/>
        </w:rPr>
        <w:t xml:space="preserve">Status: </w:t>
      </w:r>
      <w:r>
        <w:rPr>
          <w:b/>
          <w:color w:val="00857C"/>
          <w:sz w:val="20"/>
        </w:rPr>
        <w:t>Excellent</w:t>
      </w:r>
    </w:p>
    <w:p>
      <w:pPr>
        <w:spacing w:before="80" w:after="120"/>
        <w:jc w:val="left"/>
      </w:pPr>
      <w:r>
        <w:rPr>
          <w:b w:val="0"/>
          <w:i w:val="0"/>
          <w:sz w:val="20"/>
        </w:rPr>
        <w:t>During the reporting period, the system remained under good control. The mild steel and copper corrosion rates averaged 0.10 mpy and 0.02 mpy, respectively, both of which are well within the recommended limits of &lt;5 mpy and &lt;0.5 mpy.</w:t>
      </w:r>
    </w:p>
    <w:p>
      <w:pPr>
        <w:spacing w:before="160" w:after="40"/>
      </w:pPr>
      <w:r>
        <w:rPr>
          <w:b/>
          <w:color w:val="222222"/>
          <w:sz w:val="22"/>
        </w:rPr>
        <w:t>Scale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Traced Product was within the recommended range for 47.9% of the reporting month. Polymer consumption rate averaged 83.9% and decreased from 88.3% at the start of the month to 77.8% at the end of the month. Conductivity was within the recommended range for 83.7% of the reporting month. The product was higher than target during the initial part of the month and moved closer to the control band later, but end-of-month control was 49.9% within range, so it is not yet consistently maintained well. The end-of-month traced product deviation from setpoint is minimal, so the control logic will be optimised. Conductivity remained stable and maintained within its setpoint configuration range, so the Traced Product deviation is not linked to water loss or dilution and should be addressed through product control optimisation.</w:t>
      </w:r>
    </w:p>
    <w:p>
      <w:pPr>
        <w:spacing w:before="160" w:after="40"/>
      </w:pPr>
      <w:r>
        <w:rPr>
          <w:b/>
          <w:color w:val="222222"/>
          <w:sz w:val="22"/>
        </w:rPr>
        <w:t>Microbial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ORP spike response of at least 50 mV was observed at least two times per week during oxidizing biocide application, indicating good microbial dosage. FRC and dip-slide will be analysed in the upcoming visit to ensure good microbial control.</w:t>
      </w:r>
    </w:p>
    <w:p>
      <w:pPr>
        <w:spacing w:before="200" w:after="60"/>
      </w:pPr>
      <w:r>
        <w:rPr>
          <w:b/>
          <w:color w:val="005F58"/>
          <w:sz w:val="26"/>
        </w:rPr>
        <w:t>Water Efficiency</w:t>
      </w:r>
    </w:p>
    <w:p>
      <w:pPr>
        <w:spacing w:before="60" w:after="100"/>
      </w:pPr>
      <w:r>
        <w:rPr>
          <w:b/>
          <w:sz w:val="20"/>
        </w:rPr>
        <w:t xml:space="preserve">Status: </w:t>
      </w:r>
      <w:r>
        <w:rPr>
          <w:b/>
          <w:color w:val="00857C"/>
          <w:sz w:val="20"/>
        </w:rPr>
        <w:t>Excellent</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1928"/>
            <w:shd w:val="clear" w:color="auto" w:fill="00857C"/>
          </w:tcPr>
          <w:p>
            <w:pPr>
              <w:spacing w:before="60" w:after="60"/>
            </w:pPr>
            <w:r>
              <w:rPr>
                <w:b/>
                <w:color w:val="FFFFFF"/>
                <w:sz w:val="18"/>
              </w:rPr>
              <w:t>MU Conductivity</w:t>
            </w:r>
          </w:p>
        </w:tc>
        <w:tc>
          <w:tcPr>
            <w:tcW w:type="dxa" w:w="1928"/>
            <w:shd w:val="clear" w:color="auto" w:fill="00857C"/>
          </w:tcPr>
          <w:p>
            <w:pPr>
              <w:spacing w:before="60" w:after="60"/>
            </w:pPr>
            <w:r>
              <w:rPr>
                <w:b/>
                <w:color w:val="FFFFFF"/>
                <w:sz w:val="18"/>
              </w:rPr>
              <w:t>Target COC</w:t>
            </w:r>
          </w:p>
        </w:tc>
        <w:tc>
          <w:tcPr>
            <w:tcW w:type="dxa" w:w="1928"/>
            <w:shd w:val="clear" w:color="auto" w:fill="00857C"/>
          </w:tcPr>
          <w:p>
            <w:pPr>
              <w:spacing w:before="60" w:after="60"/>
            </w:pPr>
            <w:r>
              <w:rPr>
                <w:b/>
                <w:color w:val="FFFFFF"/>
                <w:sz w:val="18"/>
              </w:rPr>
              <w:t>Actual COC</w:t>
            </w:r>
          </w:p>
        </w:tc>
        <w:tc>
          <w:tcPr>
            <w:tcW w:type="dxa" w:w="1928"/>
            <w:shd w:val="clear" w:color="auto" w:fill="00857C"/>
          </w:tcPr>
          <w:p>
            <w:pPr>
              <w:spacing w:before="60" w:after="60"/>
            </w:pPr>
            <w:r>
              <w:rPr>
                <w:b/>
                <w:color w:val="FFFFFF"/>
                <w:sz w:val="18"/>
              </w:rPr>
              <w:t>Deviation</w:t>
            </w:r>
          </w:p>
        </w:tc>
        <w:tc>
          <w:tcPr>
            <w:tcW w:type="dxa" w:w="1928"/>
            <w:shd w:val="clear" w:color="auto" w:fill="00857C"/>
          </w:tcPr>
          <w:p>
            <w:pPr>
              <w:spacing w:before="60" w:after="60"/>
            </w:pPr>
            <w:r>
              <w:rPr>
                <w:b/>
                <w:color w:val="FFFFFF"/>
                <w:sz w:val="18"/>
              </w:rPr>
              <w:t>Status</w:t>
            </w:r>
          </w:p>
        </w:tc>
      </w:tr>
      <w:tr>
        <w:tc>
          <w:tcPr>
            <w:tcW w:type="dxa" w:w="1928"/>
            <w:shd w:val="clear" w:color="auto" w:fill="FFFFFF"/>
          </w:tcPr>
          <w:p>
            <w:pPr>
              <w:spacing w:before="60" w:after="60"/>
            </w:pPr>
            <w:r>
              <w:rPr>
                <w:sz w:val="18"/>
              </w:rPr>
              <w:t>224.4 µS/cm</w:t>
            </w:r>
          </w:p>
        </w:tc>
        <w:tc>
          <w:tcPr>
            <w:tcW w:type="dxa" w:w="1928"/>
            <w:shd w:val="clear" w:color="auto" w:fill="FFFFFF"/>
          </w:tcPr>
          <w:p>
            <w:pPr>
              <w:spacing w:before="60" w:after="60"/>
            </w:pPr>
            <w:r>
              <w:rPr>
                <w:sz w:val="18"/>
              </w:rPr>
              <w:t>2.67</w:t>
            </w:r>
          </w:p>
        </w:tc>
        <w:tc>
          <w:tcPr>
            <w:tcW w:type="dxa" w:w="1928"/>
            <w:shd w:val="clear" w:color="auto" w:fill="FFFFFF"/>
          </w:tcPr>
          <w:p>
            <w:pPr>
              <w:spacing w:before="60" w:after="60"/>
            </w:pPr>
            <w:r>
              <w:rPr>
                <w:sz w:val="18"/>
              </w:rPr>
              <w:t>2.66</w:t>
            </w:r>
          </w:p>
        </w:tc>
        <w:tc>
          <w:tcPr>
            <w:tcW w:type="dxa" w:w="1928"/>
            <w:shd w:val="clear" w:color="auto" w:fill="FFFFFF"/>
          </w:tcPr>
          <w:p>
            <w:pPr>
              <w:spacing w:before="60" w:after="60"/>
            </w:pPr>
            <w:r>
              <w:rPr>
                <w:sz w:val="18"/>
              </w:rPr>
              <w:t>0.4%</w:t>
            </w:r>
          </w:p>
        </w:tc>
        <w:tc>
          <w:tcPr>
            <w:tcW w:type="dxa" w:w="1928"/>
            <w:shd w:val="clear" w:color="auto" w:fill="FFFFFF"/>
          </w:tcPr>
          <w:p>
            <w:pPr>
              <w:spacing w:before="60" w:after="60"/>
            </w:pPr>
            <w:r>
              <w:rPr>
                <w:sz w:val="18"/>
              </w:rPr>
              <w:t>Excellent</w:t>
            </w:r>
          </w:p>
        </w:tc>
      </w:tr>
    </w:tbl>
    <w:p/>
    <w:p>
      <w:pPr>
        <w:spacing w:before="80" w:after="120"/>
        <w:jc w:val="left"/>
      </w:pPr>
      <w:r>
        <w:rPr>
          <w:b w:val="0"/>
          <w:i w:val="0"/>
          <w:sz w:val="20"/>
        </w:rPr>
        <w:t>Water efficiency was Excellent. Conductivity averaged 597.64 uS/cm against the 570-630 uS/cm Controller Setpoint range, with 83.7% of readings in range. Makeup conductivity was 224.4 uS/cm, target COC was 2.67, and actual COC was 2.66, giving only 0.4% deviation from target.</w:t>
      </w:r>
    </w:p>
    <w:p>
      <w:pPr>
        <w:spacing w:before="200" w:after="60"/>
      </w:pPr>
      <w:r>
        <w:rPr>
          <w:b/>
          <w:color w:val="005F58"/>
          <w:sz w:val="26"/>
        </w:rPr>
        <w:t>Product Efficiency</w:t>
      </w:r>
    </w:p>
    <w:p>
      <w:pPr>
        <w:spacing w:before="60" w:after="100"/>
      </w:pPr>
      <w:r>
        <w:rPr>
          <w:b/>
          <w:sz w:val="20"/>
        </w:rPr>
        <w:t xml:space="preserve">Status: </w:t>
      </w:r>
      <w:r>
        <w:rPr>
          <w:b/>
          <w:color w:val="B8860B"/>
          <w:sz w:val="20"/>
        </w:rPr>
        <w:t>Acceptable</w:t>
      </w:r>
    </w:p>
    <w:p>
      <w:pPr>
        <w:spacing w:before="80" w:after="120"/>
        <w:jc w:val="left"/>
      </w:pPr>
      <w:r>
        <w:rPr>
          <w:b w:val="0"/>
          <w:i w:val="0"/>
          <w:sz w:val="20"/>
        </w:rPr>
        <w:t>Product efficiency needs continued attention because Traced Product was within the Controller Setpoint range for only 47.9% of the reporting month. Feed control logic should be optimised and product control should be verified during the upcoming service visit.</w:t>
      </w:r>
    </w:p>
    <w:p>
      <w:pPr>
        <w:spacing w:before="200" w:after="60"/>
      </w:pPr>
      <w:r>
        <w:rPr>
          <w:b/>
          <w:color w:val="005F58"/>
          <w:sz w:val="26"/>
        </w:rPr>
        <w:t>Proactive System Support</w:t>
      </w:r>
    </w:p>
    <w:p>
      <w:pPr>
        <w:spacing w:before="80" w:after="120"/>
        <w:jc w:val="left"/>
      </w:pPr>
      <w:r>
        <w:rPr>
          <w:b w:val="0"/>
          <w:i w:val="0"/>
          <w:sz w:val="20"/>
        </w:rPr>
        <w:t>The July service note documented low ORP related to a clogged sample line, plus a recommendation to inspect the dosing pump, probe, onsite inventory, FRC level, and pH probe. Recommended follow-up: Traced Product was not maintained while conductivity was maintained, so verify product inventory, pump prime, feed delivery, and fluorometer calibration. Check FRC during the upcoming service visit to confirm oxidizing biocide residual. Measure dip-slide CFU during the upcoming service visit to confirm microbial control. Verify phosphate and silica residuals during the next service visit.</w:t>
      </w:r>
    </w:p>
    <w:p>
      <w:r>
        <w:br w:type="page"/>
      </w:r>
    </w:p>
    <w:p>
      <w:pPr>
        <w:pBdr>
          <w:bottom w:val="single" w:sz="8" w:space="4" w:color="00857C"/>
        </w:pBdr>
        <w:spacing w:before="280" w:after="80"/>
      </w:pPr>
      <w:r>
        <w:rPr>
          <w:b/>
          <w:color w:val="00857C"/>
          <w:sz w:val="32"/>
        </w:rPr>
        <w:t>Performance Summary</w:t>
      </w:r>
    </w:p>
    <w:p>
      <w:pPr>
        <w:spacing w:before="80" w:after="120"/>
        <w:jc w:val="left"/>
      </w:pPr>
      <w:r>
        <w:rPr>
          <w:b w:val="0"/>
          <w:i/>
          <w:color w:val="444444"/>
          <w:sz w:val="18"/>
        </w:rPr>
        <w:t>Controller Setpoints are used as control limits below. % In Range is calculated from the full reporting month telemetry.</w:t>
      </w:r>
    </w:p>
    <w:tbl>
      <w:tblPr>
        <w:tblStyle w:val="TableGrid"/>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814"/>
            <w:shd w:val="clear" w:color="auto" w:fill="00857C"/>
          </w:tcPr>
          <w:p>
            <w:pPr>
              <w:spacing w:before="60" w:after="60"/>
            </w:pPr>
            <w:r>
              <w:rPr>
                <w:b/>
                <w:color w:val="FFFFFF"/>
                <w:sz w:val="18"/>
              </w:rPr>
              <w:t>Parameter</w:t>
            </w:r>
          </w:p>
        </w:tc>
        <w:tc>
          <w:tcPr>
            <w:tcW w:type="dxa" w:w="1247"/>
            <w:shd w:val="clear" w:color="auto" w:fill="00857C"/>
          </w:tcPr>
          <w:p>
            <w:pPr>
              <w:spacing w:before="60" w:after="60"/>
            </w:pPr>
            <w:r>
              <w:rPr>
                <w:b/>
                <w:color w:val="FFFFFF"/>
                <w:sz w:val="18"/>
              </w:rPr>
              <w:t>Context Point</w:t>
            </w:r>
          </w:p>
        </w:tc>
        <w:tc>
          <w:tcPr>
            <w:tcW w:type="dxa" w:w="850"/>
            <w:shd w:val="clear" w:color="auto" w:fill="00857C"/>
          </w:tcPr>
          <w:p>
            <w:pPr>
              <w:spacing w:before="60" w:after="60"/>
            </w:pPr>
            <w:r>
              <w:rPr>
                <w:b/>
                <w:color w:val="FFFFFF"/>
                <w:sz w:val="18"/>
              </w:rPr>
              <w:t>Average</w:t>
            </w:r>
          </w:p>
        </w:tc>
        <w:tc>
          <w:tcPr>
            <w:tcW w:type="dxa" w:w="850"/>
            <w:shd w:val="clear" w:color="auto" w:fill="00857C"/>
          </w:tcPr>
          <w:p>
            <w:pPr>
              <w:spacing w:before="60" w:after="60"/>
            </w:pPr>
            <w:r>
              <w:rPr>
                <w:b/>
                <w:color w:val="FFFFFF"/>
                <w:sz w:val="18"/>
              </w:rPr>
              <w:t>Std Dev</w:t>
            </w:r>
          </w:p>
        </w:tc>
        <w:tc>
          <w:tcPr>
            <w:tcW w:type="dxa" w:w="794"/>
            <w:shd w:val="clear" w:color="auto" w:fill="00857C"/>
          </w:tcPr>
          <w:p>
            <w:pPr>
              <w:spacing w:before="60" w:after="60"/>
            </w:pPr>
            <w:r>
              <w:rPr>
                <w:b/>
                <w:color w:val="FFFFFF"/>
                <w:sz w:val="18"/>
              </w:rPr>
              <w:t>Min</w:t>
            </w:r>
          </w:p>
        </w:tc>
        <w:tc>
          <w:tcPr>
            <w:tcW w:type="dxa" w:w="794"/>
            <w:shd w:val="clear" w:color="auto" w:fill="00857C"/>
          </w:tcPr>
          <w:p>
            <w:pPr>
              <w:spacing w:before="60" w:after="60"/>
            </w:pPr>
            <w:r>
              <w:rPr>
                <w:b/>
                <w:color w:val="FFFFFF"/>
                <w:sz w:val="18"/>
              </w:rPr>
              <w:t>Max</w:t>
            </w:r>
          </w:p>
        </w:tc>
        <w:tc>
          <w:tcPr>
            <w:tcW w:type="dxa" w:w="964"/>
            <w:shd w:val="clear" w:color="auto" w:fill="00857C"/>
          </w:tcPr>
          <w:p>
            <w:pPr>
              <w:spacing w:before="60" w:after="60"/>
            </w:pPr>
            <w:r>
              <w:rPr>
                <w:b/>
                <w:color w:val="FFFFFF"/>
                <w:sz w:val="18"/>
              </w:rPr>
              <w:t>Lower Limit</w:t>
            </w:r>
          </w:p>
        </w:tc>
        <w:tc>
          <w:tcPr>
            <w:tcW w:type="dxa" w:w="964"/>
            <w:shd w:val="clear" w:color="auto" w:fill="00857C"/>
          </w:tcPr>
          <w:p>
            <w:pPr>
              <w:spacing w:before="60" w:after="60"/>
            </w:pPr>
            <w:r>
              <w:rPr>
                <w:b/>
                <w:color w:val="FFFFFF"/>
                <w:sz w:val="18"/>
              </w:rPr>
              <w:t>Upper Limit</w:t>
            </w:r>
          </w:p>
        </w:tc>
        <w:tc>
          <w:tcPr>
            <w:tcW w:type="dxa" w:w="1020"/>
            <w:shd w:val="clear" w:color="auto" w:fill="00857C"/>
          </w:tcPr>
          <w:p>
            <w:pPr>
              <w:spacing w:before="60" w:after="60"/>
            </w:pPr>
            <w:r>
              <w:rPr>
                <w:b/>
                <w:color w:val="FFFFFF"/>
                <w:sz w:val="18"/>
              </w:rPr>
              <w:t>% In Range</w:t>
            </w:r>
          </w:p>
        </w:tc>
        <w:tc>
          <w:tcPr>
            <w:tcW w:type="dxa" w:w="1247"/>
            <w:shd w:val="clear" w:color="auto" w:fill="00857C"/>
          </w:tcPr>
          <w:p>
            <w:pPr>
              <w:spacing w:before="60" w:after="60"/>
            </w:pPr>
            <w:r>
              <w:rPr>
                <w:b/>
                <w:color w:val="FFFFFF"/>
                <w:sz w:val="18"/>
              </w:rPr>
              <w:t>Status</w:t>
            </w:r>
          </w:p>
        </w:tc>
      </w:tr>
      <w:tr>
        <w:tc>
          <w:tcPr>
            <w:tcW w:type="dxa" w:w="1814"/>
            <w:shd w:val="clear" w:color="auto" w:fill="FFFFFF"/>
          </w:tcPr>
          <w:p>
            <w:pPr>
              <w:spacing w:before="60" w:after="60"/>
            </w:pPr>
            <w:r>
              <w:rPr>
                <w:sz w:val="18"/>
              </w:rPr>
              <w:t>Corrosion – MS (MPY)</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0.100</w:t>
            </w:r>
          </w:p>
        </w:tc>
        <w:tc>
          <w:tcPr>
            <w:tcW w:type="dxa" w:w="850"/>
            <w:shd w:val="clear" w:color="auto" w:fill="FFFFFF"/>
          </w:tcPr>
          <w:p>
            <w:pPr>
              <w:spacing w:before="60" w:after="60"/>
            </w:pPr>
            <w:r>
              <w:rPr>
                <w:sz w:val="18"/>
              </w:rPr>
              <w:t>0.000</w:t>
            </w:r>
          </w:p>
        </w:tc>
        <w:tc>
          <w:tcPr>
            <w:tcW w:type="dxa" w:w="794"/>
            <w:shd w:val="clear" w:color="auto" w:fill="FFFFFF"/>
          </w:tcPr>
          <w:p>
            <w:pPr>
              <w:spacing w:before="60" w:after="60"/>
            </w:pPr>
            <w:r>
              <w:rPr>
                <w:sz w:val="18"/>
              </w:rPr>
              <w:t>0.100</w:t>
            </w:r>
          </w:p>
        </w:tc>
        <w:tc>
          <w:tcPr>
            <w:tcW w:type="dxa" w:w="794"/>
            <w:shd w:val="clear" w:color="auto" w:fill="FFFFFF"/>
          </w:tcPr>
          <w:p>
            <w:pPr>
              <w:spacing w:before="60" w:after="60"/>
            </w:pPr>
            <w:r>
              <w:rPr>
                <w:sz w:val="18"/>
              </w:rPr>
              <w:t>0.100</w:t>
            </w:r>
          </w:p>
        </w:tc>
        <w:tc>
          <w:tcPr>
            <w:tcW w:type="dxa" w:w="964"/>
            <w:shd w:val="clear" w:color="auto" w:fill="FFFFFF"/>
          </w:tcPr>
          <w:p>
            <w:pPr>
              <w:spacing w:before="60" w:after="60"/>
            </w:pPr>
            <w:r>
              <w:rPr>
                <w:sz w:val="18"/>
              </w:rPr>
              <w:t>0.00</w:t>
            </w:r>
          </w:p>
        </w:tc>
        <w:tc>
          <w:tcPr>
            <w:tcW w:type="dxa" w:w="964"/>
            <w:shd w:val="clear" w:color="auto" w:fill="FFFFFF"/>
          </w:tcPr>
          <w:p>
            <w:pPr>
              <w:spacing w:before="60" w:after="60"/>
            </w:pPr>
            <w:r>
              <w:rPr>
                <w:sz w:val="18"/>
              </w:rPr>
              <w:t>3.00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 Excellent</w:t>
            </w:r>
          </w:p>
        </w:tc>
      </w:tr>
      <w:tr>
        <w:tc>
          <w:tcPr>
            <w:tcW w:type="dxa" w:w="1814"/>
            <w:shd w:val="clear" w:color="auto" w:fill="F2F8F7"/>
          </w:tcPr>
          <w:p>
            <w:pPr>
              <w:spacing w:before="60" w:after="60"/>
            </w:pPr>
            <w:r>
              <w:rPr>
                <w:sz w:val="18"/>
              </w:rPr>
              <w:t>Corrosion – Cu (MPY)</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0.021</w:t>
            </w:r>
          </w:p>
        </w:tc>
        <w:tc>
          <w:tcPr>
            <w:tcW w:type="dxa" w:w="850"/>
            <w:shd w:val="clear" w:color="auto" w:fill="F2F8F7"/>
          </w:tcPr>
          <w:p>
            <w:pPr>
              <w:spacing w:before="60" w:after="60"/>
            </w:pPr>
            <w:r>
              <w:rPr>
                <w:sz w:val="18"/>
              </w:rPr>
              <w:t>0.002</w:t>
            </w:r>
          </w:p>
        </w:tc>
        <w:tc>
          <w:tcPr>
            <w:tcW w:type="dxa" w:w="794"/>
            <w:shd w:val="clear" w:color="auto" w:fill="F2F8F7"/>
          </w:tcPr>
          <w:p>
            <w:pPr>
              <w:spacing w:before="60" w:after="60"/>
            </w:pPr>
            <w:r>
              <w:rPr>
                <w:sz w:val="18"/>
              </w:rPr>
              <w:t>0.000</w:t>
            </w:r>
          </w:p>
        </w:tc>
        <w:tc>
          <w:tcPr>
            <w:tcW w:type="dxa" w:w="794"/>
            <w:shd w:val="clear" w:color="auto" w:fill="F2F8F7"/>
          </w:tcPr>
          <w:p>
            <w:pPr>
              <w:spacing w:before="60" w:after="60"/>
            </w:pPr>
            <w:r>
              <w:rPr>
                <w:sz w:val="18"/>
              </w:rPr>
              <w:t>0.026</w:t>
            </w:r>
          </w:p>
        </w:tc>
        <w:tc>
          <w:tcPr>
            <w:tcW w:type="dxa" w:w="964"/>
            <w:shd w:val="clear" w:color="auto" w:fill="F2F8F7"/>
          </w:tcPr>
          <w:p>
            <w:pPr>
              <w:spacing w:before="60" w:after="60"/>
            </w:pPr>
            <w:r>
              <w:rPr>
                <w:sz w:val="18"/>
              </w:rPr>
              <w:t>0.00</w:t>
            </w:r>
          </w:p>
        </w:tc>
        <w:tc>
          <w:tcPr>
            <w:tcW w:type="dxa" w:w="964"/>
            <w:shd w:val="clear" w:color="auto" w:fill="F2F8F7"/>
          </w:tcPr>
          <w:p>
            <w:pPr>
              <w:spacing w:before="60" w:after="60"/>
            </w:pPr>
            <w:r>
              <w:rPr>
                <w:sz w:val="18"/>
              </w:rPr>
              <w:t>0.50</w:t>
            </w:r>
          </w:p>
        </w:tc>
        <w:tc>
          <w:tcPr>
            <w:tcW w:type="dxa" w:w="1020"/>
            <w:shd w:val="clear" w:color="auto" w:fill="F2F8F7"/>
          </w:tcPr>
          <w:p>
            <w:pPr>
              <w:spacing w:before="60" w:after="60"/>
            </w:pPr>
            <w:r>
              <w:rPr>
                <w:sz w:val="18"/>
              </w:rPr>
              <w:t>100.0%</w:t>
            </w:r>
          </w:p>
        </w:tc>
        <w:tc>
          <w:tcPr>
            <w:tcW w:type="dxa" w:w="1247"/>
            <w:shd w:val="clear" w:color="auto" w:fill="F2F8F7"/>
          </w:tcPr>
          <w:p>
            <w:pPr>
              <w:spacing w:before="60" w:after="60"/>
            </w:pPr>
            <w:r>
              <w:rPr>
                <w:sz w:val="18"/>
              </w:rPr>
              <w:t>✓ Excellent</w:t>
            </w:r>
          </w:p>
        </w:tc>
      </w:tr>
      <w:tr>
        <w:tc>
          <w:tcPr>
            <w:tcW w:type="dxa" w:w="1814"/>
            <w:shd w:val="clear" w:color="auto" w:fill="FFFFFF"/>
          </w:tcPr>
          <w:p>
            <w:pPr>
              <w:spacing w:before="60" w:after="60"/>
            </w:pPr>
            <w:r>
              <w:rPr>
                <w:sz w:val="18"/>
              </w:rPr>
              <w:t>Traced Product (ppm)</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45.658</w:t>
            </w:r>
          </w:p>
        </w:tc>
        <w:tc>
          <w:tcPr>
            <w:tcW w:type="dxa" w:w="850"/>
            <w:shd w:val="clear" w:color="auto" w:fill="FFFFFF"/>
          </w:tcPr>
          <w:p>
            <w:pPr>
              <w:spacing w:before="60" w:after="60"/>
            </w:pPr>
            <w:r>
              <w:rPr>
                <w:sz w:val="18"/>
              </w:rPr>
              <w:t>4.287</w:t>
            </w:r>
          </w:p>
        </w:tc>
        <w:tc>
          <w:tcPr>
            <w:tcW w:type="dxa" w:w="794"/>
            <w:shd w:val="clear" w:color="auto" w:fill="FFFFFF"/>
          </w:tcPr>
          <w:p>
            <w:pPr>
              <w:spacing w:before="60" w:after="60"/>
            </w:pPr>
            <w:r>
              <w:rPr>
                <w:sz w:val="18"/>
              </w:rPr>
              <w:t>39.315</w:t>
            </w:r>
          </w:p>
        </w:tc>
        <w:tc>
          <w:tcPr>
            <w:tcW w:type="dxa" w:w="794"/>
            <w:shd w:val="clear" w:color="auto" w:fill="FFFFFF"/>
          </w:tcPr>
          <w:p>
            <w:pPr>
              <w:spacing w:before="60" w:after="60"/>
            </w:pPr>
            <w:r>
              <w:rPr>
                <w:sz w:val="18"/>
              </w:rPr>
              <w:t>68.553</w:t>
            </w:r>
          </w:p>
        </w:tc>
        <w:tc>
          <w:tcPr>
            <w:tcW w:type="dxa" w:w="964"/>
            <w:shd w:val="clear" w:color="auto" w:fill="FFFFFF"/>
          </w:tcPr>
          <w:p>
            <w:pPr>
              <w:spacing w:before="60" w:after="60"/>
            </w:pPr>
            <w:r>
              <w:rPr>
                <w:sz w:val="18"/>
              </w:rPr>
              <w:t>40.9</w:t>
            </w:r>
          </w:p>
        </w:tc>
        <w:tc>
          <w:tcPr>
            <w:tcW w:type="dxa" w:w="964"/>
            <w:shd w:val="clear" w:color="auto" w:fill="FFFFFF"/>
          </w:tcPr>
          <w:p>
            <w:pPr>
              <w:spacing w:before="60" w:after="60"/>
            </w:pPr>
            <w:r>
              <w:rPr>
                <w:sz w:val="18"/>
              </w:rPr>
              <w:t>45.1</w:t>
            </w:r>
          </w:p>
        </w:tc>
        <w:tc>
          <w:tcPr>
            <w:tcW w:type="dxa" w:w="1020"/>
            <w:shd w:val="clear" w:color="auto" w:fill="FFFFFF"/>
          </w:tcPr>
          <w:p>
            <w:pPr>
              <w:spacing w:before="60" w:after="60"/>
            </w:pPr>
            <w:r>
              <w:rPr>
                <w:sz w:val="18"/>
              </w:rPr>
              <w:t>47.9%</w:t>
            </w:r>
          </w:p>
        </w:tc>
        <w:tc>
          <w:tcPr>
            <w:tcW w:type="dxa" w:w="1247"/>
            <w:shd w:val="clear" w:color="auto" w:fill="FFFFFF"/>
          </w:tcPr>
          <w:p>
            <w:pPr>
              <w:spacing w:before="60" w:after="60"/>
            </w:pPr>
            <w:r>
              <w:rPr>
                <w:sz w:val="18"/>
              </w:rPr>
              <w:t>⚠ Acceptable</w:t>
            </w:r>
          </w:p>
        </w:tc>
      </w:tr>
      <w:tr>
        <w:tc>
          <w:tcPr>
            <w:tcW w:type="dxa" w:w="1814"/>
            <w:shd w:val="clear" w:color="auto" w:fill="F2F8F7"/>
          </w:tcPr>
          <w:p>
            <w:pPr>
              <w:spacing w:before="60" w:after="60"/>
            </w:pPr>
            <w:r>
              <w:rPr>
                <w:sz w:val="18"/>
              </w:rPr>
              <w:t>Conductivity (µS/cm)</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597.635</w:t>
            </w:r>
          </w:p>
        </w:tc>
        <w:tc>
          <w:tcPr>
            <w:tcW w:type="dxa" w:w="850"/>
            <w:shd w:val="clear" w:color="auto" w:fill="F2F8F7"/>
          </w:tcPr>
          <w:p>
            <w:pPr>
              <w:spacing w:before="60" w:after="60"/>
            </w:pPr>
            <w:r>
              <w:rPr>
                <w:sz w:val="18"/>
              </w:rPr>
              <w:t>22.753</w:t>
            </w:r>
          </w:p>
        </w:tc>
        <w:tc>
          <w:tcPr>
            <w:tcW w:type="dxa" w:w="794"/>
            <w:shd w:val="clear" w:color="auto" w:fill="F2F8F7"/>
          </w:tcPr>
          <w:p>
            <w:pPr>
              <w:spacing w:before="60" w:after="60"/>
            </w:pPr>
            <w:r>
              <w:rPr>
                <w:sz w:val="18"/>
              </w:rPr>
              <w:t>467.688</w:t>
            </w:r>
          </w:p>
        </w:tc>
        <w:tc>
          <w:tcPr>
            <w:tcW w:type="dxa" w:w="794"/>
            <w:shd w:val="clear" w:color="auto" w:fill="F2F8F7"/>
          </w:tcPr>
          <w:p>
            <w:pPr>
              <w:spacing w:before="60" w:after="60"/>
            </w:pPr>
            <w:r>
              <w:rPr>
                <w:sz w:val="18"/>
              </w:rPr>
              <w:t>662.806</w:t>
            </w:r>
          </w:p>
        </w:tc>
        <w:tc>
          <w:tcPr>
            <w:tcW w:type="dxa" w:w="964"/>
            <w:shd w:val="clear" w:color="auto" w:fill="F2F8F7"/>
          </w:tcPr>
          <w:p>
            <w:pPr>
              <w:spacing w:before="60" w:after="60"/>
            </w:pPr>
            <w:r>
              <w:rPr>
                <w:sz w:val="18"/>
              </w:rPr>
              <w:t>570</w:t>
            </w:r>
          </w:p>
        </w:tc>
        <w:tc>
          <w:tcPr>
            <w:tcW w:type="dxa" w:w="964"/>
            <w:shd w:val="clear" w:color="auto" w:fill="F2F8F7"/>
          </w:tcPr>
          <w:p>
            <w:pPr>
              <w:spacing w:before="60" w:after="60"/>
            </w:pPr>
            <w:r>
              <w:rPr>
                <w:sz w:val="18"/>
              </w:rPr>
              <w:t>630</w:t>
            </w:r>
          </w:p>
        </w:tc>
        <w:tc>
          <w:tcPr>
            <w:tcW w:type="dxa" w:w="1020"/>
            <w:shd w:val="clear" w:color="auto" w:fill="F2F8F7"/>
          </w:tcPr>
          <w:p>
            <w:pPr>
              <w:spacing w:before="60" w:after="60"/>
            </w:pPr>
            <w:r>
              <w:rPr>
                <w:sz w:val="18"/>
              </w:rPr>
              <w:t>83.7%</w:t>
            </w:r>
          </w:p>
        </w:tc>
        <w:tc>
          <w:tcPr>
            <w:tcW w:type="dxa" w:w="1247"/>
            <w:shd w:val="clear" w:color="auto" w:fill="F2F8F7"/>
          </w:tcPr>
          <w:p>
            <w:pPr>
              <w:spacing w:before="60" w:after="60"/>
            </w:pPr>
            <w:r>
              <w:rPr>
                <w:sz w:val="18"/>
              </w:rPr>
              <w:t>✓ Excellent</w:t>
            </w:r>
          </w:p>
        </w:tc>
      </w:tr>
      <w:tr>
        <w:tc>
          <w:tcPr>
            <w:tcW w:type="dxa" w:w="1814"/>
            <w:shd w:val="clear" w:color="auto" w:fill="FFFFFF"/>
          </w:tcPr>
          <w:p>
            <w:pPr>
              <w:spacing w:before="60" w:after="60"/>
            </w:pPr>
            <w:r>
              <w:rPr>
                <w:sz w:val="18"/>
              </w:rPr>
              <w:t>pH</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9.284</w:t>
            </w:r>
          </w:p>
        </w:tc>
        <w:tc>
          <w:tcPr>
            <w:tcW w:type="dxa" w:w="850"/>
            <w:shd w:val="clear" w:color="auto" w:fill="FFFFFF"/>
          </w:tcPr>
          <w:p>
            <w:pPr>
              <w:spacing w:before="60" w:after="60"/>
            </w:pPr>
            <w:r>
              <w:rPr>
                <w:sz w:val="18"/>
              </w:rPr>
              <w:t>0.039</w:t>
            </w:r>
          </w:p>
        </w:tc>
        <w:tc>
          <w:tcPr>
            <w:tcW w:type="dxa" w:w="794"/>
            <w:shd w:val="clear" w:color="auto" w:fill="FFFFFF"/>
          </w:tcPr>
          <w:p>
            <w:pPr>
              <w:spacing w:before="60" w:after="60"/>
            </w:pPr>
            <w:r>
              <w:rPr>
                <w:sz w:val="18"/>
              </w:rPr>
              <w:t>9.119</w:t>
            </w:r>
          </w:p>
        </w:tc>
        <w:tc>
          <w:tcPr>
            <w:tcW w:type="dxa" w:w="794"/>
            <w:shd w:val="clear" w:color="auto" w:fill="FFFFFF"/>
          </w:tcPr>
          <w:p>
            <w:pPr>
              <w:spacing w:before="60" w:after="60"/>
            </w:pPr>
            <w:r>
              <w:rPr>
                <w:sz w:val="18"/>
              </w:rPr>
              <w:t>9.376</w:t>
            </w:r>
          </w:p>
        </w:tc>
        <w:tc>
          <w:tcPr>
            <w:tcW w:type="dxa" w:w="964"/>
            <w:shd w:val="clear" w:color="auto" w:fill="FFFFFF"/>
          </w:tcPr>
          <w:p>
            <w:pPr>
              <w:spacing w:before="60" w:after="60"/>
            </w:pPr>
            <w:r>
              <w:rPr>
                <w:sz w:val="18"/>
              </w:rPr>
              <w:t>7.50</w:t>
            </w:r>
          </w:p>
        </w:tc>
        <w:tc>
          <w:tcPr>
            <w:tcW w:type="dxa" w:w="964"/>
            <w:shd w:val="clear" w:color="auto" w:fill="FFFFFF"/>
          </w:tcPr>
          <w:p>
            <w:pPr>
              <w:spacing w:before="60" w:after="60"/>
            </w:pPr>
            <w:r>
              <w:rPr>
                <w:sz w:val="18"/>
              </w:rPr>
              <w:t>10.00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ORP (mV)</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38.306</w:t>
            </w:r>
          </w:p>
        </w:tc>
        <w:tc>
          <w:tcPr>
            <w:tcW w:type="dxa" w:w="850"/>
            <w:shd w:val="clear" w:color="auto" w:fill="F2F8F7"/>
          </w:tcPr>
          <w:p>
            <w:pPr>
              <w:spacing w:before="60" w:after="60"/>
            </w:pPr>
            <w:r>
              <w:rPr>
                <w:sz w:val="18"/>
              </w:rPr>
              <w:t>50.107</w:t>
            </w:r>
          </w:p>
        </w:tc>
        <w:tc>
          <w:tcPr>
            <w:tcW w:type="dxa" w:w="794"/>
            <w:shd w:val="clear" w:color="auto" w:fill="F2F8F7"/>
          </w:tcPr>
          <w:p>
            <w:pPr>
              <w:spacing w:before="60" w:after="60"/>
            </w:pPr>
            <w:r>
              <w:rPr>
                <w:sz w:val="18"/>
              </w:rPr>
              <w:t>-31.119</w:t>
            </w:r>
          </w:p>
        </w:tc>
        <w:tc>
          <w:tcPr>
            <w:tcW w:type="dxa" w:w="794"/>
            <w:shd w:val="clear" w:color="auto" w:fill="F2F8F7"/>
          </w:tcPr>
          <w:p>
            <w:pPr>
              <w:spacing w:before="60" w:after="60"/>
            </w:pPr>
            <w:r>
              <w:rPr>
                <w:sz w:val="18"/>
              </w:rPr>
              <w:t>266.546</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See chart</w:t>
            </w:r>
          </w:p>
        </w:tc>
      </w:tr>
      <w:tr>
        <w:tc>
          <w:tcPr>
            <w:tcW w:type="dxa" w:w="1814"/>
            <w:shd w:val="clear" w:color="auto" w:fill="FFFFFF"/>
          </w:tcPr>
          <w:p>
            <w:pPr>
              <w:spacing w:before="60" w:after="60"/>
            </w:pPr>
            <w:r>
              <w:rPr>
                <w:sz w:val="18"/>
              </w:rPr>
              <w:t>Turbidity (NTU)</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0.005</w:t>
            </w:r>
          </w:p>
        </w:tc>
        <w:tc>
          <w:tcPr>
            <w:tcW w:type="dxa" w:w="850"/>
            <w:shd w:val="clear" w:color="auto" w:fill="FFFFFF"/>
          </w:tcPr>
          <w:p>
            <w:pPr>
              <w:spacing w:before="60" w:after="60"/>
            </w:pPr>
            <w:r>
              <w:rPr>
                <w:sz w:val="18"/>
              </w:rPr>
              <w:t>0.194</w:t>
            </w:r>
          </w:p>
        </w:tc>
        <w:tc>
          <w:tcPr>
            <w:tcW w:type="dxa" w:w="794"/>
            <w:shd w:val="clear" w:color="auto" w:fill="FFFFFF"/>
          </w:tcPr>
          <w:p>
            <w:pPr>
              <w:spacing w:before="60" w:after="60"/>
            </w:pPr>
            <w:r>
              <w:rPr>
                <w:sz w:val="18"/>
              </w:rPr>
              <w:t>0.000</w:t>
            </w:r>
          </w:p>
        </w:tc>
        <w:tc>
          <w:tcPr>
            <w:tcW w:type="dxa" w:w="794"/>
            <w:shd w:val="clear" w:color="auto" w:fill="FFFFFF"/>
          </w:tcPr>
          <w:p>
            <w:pPr>
              <w:spacing w:before="60" w:after="60"/>
            </w:pPr>
            <w:r>
              <w:rPr>
                <w:sz w:val="18"/>
              </w:rPr>
              <w:t>7.829</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75.0</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Cell Fouling (%)</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3.659</w:t>
            </w:r>
          </w:p>
        </w:tc>
        <w:tc>
          <w:tcPr>
            <w:tcW w:type="dxa" w:w="850"/>
            <w:shd w:val="clear" w:color="auto" w:fill="F2F8F7"/>
          </w:tcPr>
          <w:p>
            <w:pPr>
              <w:spacing w:before="60" w:after="60"/>
            </w:pPr>
            <w:r>
              <w:rPr>
                <w:sz w:val="18"/>
              </w:rPr>
              <w:t>1.216</w:t>
            </w:r>
          </w:p>
        </w:tc>
        <w:tc>
          <w:tcPr>
            <w:tcW w:type="dxa" w:w="794"/>
            <w:shd w:val="clear" w:color="auto" w:fill="F2F8F7"/>
          </w:tcPr>
          <w:p>
            <w:pPr>
              <w:spacing w:before="60" w:after="60"/>
            </w:pPr>
            <w:r>
              <w:rPr>
                <w:sz w:val="18"/>
              </w:rPr>
              <w:t>1.236</w:t>
            </w:r>
          </w:p>
        </w:tc>
        <w:tc>
          <w:tcPr>
            <w:tcW w:type="dxa" w:w="794"/>
            <w:shd w:val="clear" w:color="auto" w:fill="F2F8F7"/>
          </w:tcPr>
          <w:p>
            <w:pPr>
              <w:spacing w:before="60" w:after="60"/>
            </w:pPr>
            <w:r>
              <w:rPr>
                <w:sz w:val="18"/>
              </w:rPr>
              <w:t>16.780</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30.0</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ℹ Info</w:t>
            </w:r>
          </w:p>
        </w:tc>
      </w:tr>
      <w:tr>
        <w:tc>
          <w:tcPr>
            <w:tcW w:type="dxa" w:w="1814"/>
            <w:shd w:val="clear" w:color="auto" w:fill="FFFFFF"/>
          </w:tcPr>
          <w:p>
            <w:pPr>
              <w:spacing w:before="60" w:after="60"/>
            </w:pPr>
            <w:r>
              <w:rPr>
                <w:sz w:val="18"/>
              </w:rPr>
              <w:t>FRC</w:t>
            </w:r>
          </w:p>
        </w:tc>
        <w:tc>
          <w:tcPr>
            <w:tcW w:type="dxa" w:w="1247"/>
            <w:shd w:val="clear" w:color="auto" w:fill="FFFFFF"/>
          </w:tcPr>
          <w:p>
            <w:pPr>
              <w:spacing w:before="60" w:after="60"/>
            </w:pPr>
            <w:r>
              <w:rPr>
                <w:sz w:val="18"/>
              </w:rPr>
              <w:t>Field Data</w:t>
            </w:r>
          </w:p>
        </w:tc>
        <w:tc>
          <w:tcPr>
            <w:tcW w:type="dxa" w:w="850"/>
            <w:shd w:val="clear" w:color="auto" w:fill="FFFFFF"/>
          </w:tcPr>
          <w:p>
            <w:pPr>
              <w:spacing w:before="60" w:after="60"/>
            </w:pPr>
            <w:r>
              <w:rPr>
                <w:sz w:val="18"/>
              </w:rPr>
              <w:t>Not avail.</w:t>
            </w:r>
          </w:p>
        </w:tc>
        <w:tc>
          <w:tcPr>
            <w:tcW w:type="dxa" w:w="850"/>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 Check</w:t>
            </w:r>
          </w:p>
        </w:tc>
      </w:tr>
    </w:tbl>
    <w:p/>
    <w:p>
      <w:r>
        <w:br w:type="page"/>
      </w:r>
    </w:p>
    <w:p>
      <w:pPr>
        <w:pBdr>
          <w:bottom w:val="single" w:sz="8" w:space="4" w:color="00857C"/>
        </w:pBdr>
        <w:spacing w:before="280" w:after="80"/>
      </w:pPr>
      <w:r>
        <w:rPr>
          <w:b/>
          <w:color w:val="00857C"/>
          <w:sz w:val="32"/>
        </w:rPr>
        <w:t>Charts and Comments</w:t>
      </w:r>
    </w:p>
    <w:p>
      <w:pPr>
        <w:spacing w:before="200" w:after="60"/>
      </w:pPr>
      <w:r>
        <w:rPr>
          <w:b/>
          <w:color w:val="005F58"/>
          <w:sz w:val="26"/>
        </w:rPr>
        <w:t>Corrosion Rate</w:t>
      </w:r>
    </w:p>
    <w:p>
      <w:pPr>
        <w:jc w:val="center"/>
      </w:pPr>
      <w:r>
        <w:drawing>
          <wp:inline xmlns:a="http://schemas.openxmlformats.org/drawingml/2006/main" xmlns:pic="http://schemas.openxmlformats.org/drawingml/2006/picture">
            <wp:extent cx="5486400" cy="2570877"/>
            <wp:docPr id="1" name="Picture 1"/>
            <wp:cNvGraphicFramePr>
              <a:graphicFrameLocks noChangeAspect="1"/>
            </wp:cNvGraphicFramePr>
            <a:graphic>
              <a:graphicData uri="http://schemas.openxmlformats.org/drawingml/2006/picture">
                <pic:pic>
                  <pic:nvPicPr>
                    <pic:cNvPr id="0" name="st_joseph_s_hospital_savannah_ga_us_controllers_84253fab8cc5_july_2026_corrosion.png"/>
                    <pic:cNvPicPr/>
                  </pic:nvPicPr>
                  <pic:blipFill>
                    <a:blip r:embed="rId11"/>
                    <a:stretch>
                      <a:fillRect/>
                    </a:stretch>
                  </pic:blipFill>
                  <pic:spPr>
                    <a:xfrm>
                      <a:off x="0" y="0"/>
                      <a:ext cx="5486400" cy="2570877"/>
                    </a:xfrm>
                    <a:prstGeom prst="rect"/>
                  </pic:spPr>
                </pic:pic>
              </a:graphicData>
            </a:graphic>
          </wp:inline>
        </w:drawing>
      </w:r>
    </w:p>
    <w:p>
      <w:pPr>
        <w:spacing w:after="120"/>
        <w:jc w:val="center"/>
      </w:pPr>
      <w:r>
        <w:rPr>
          <w:i/>
          <w:color w:val="444444"/>
          <w:sz w:val="17"/>
        </w:rPr>
        <w:t>Figure 1: Corrosion Rate — July 2026</w:t>
      </w:r>
    </w:p>
    <w:p>
      <w:pPr>
        <w:spacing w:before="40" w:after="200"/>
      </w:pPr>
      <w:r>
        <w:rPr>
          <w:b/>
          <w:i/>
          <w:color w:val="333333"/>
          <w:sz w:val="19"/>
        </w:rPr>
        <w:t xml:space="preserve">Comment: </w:t>
      </w:r>
      <w:r>
        <w:rPr>
          <w:i/>
          <w:color w:val="333333"/>
          <w:sz w:val="19"/>
        </w:rPr>
        <w:t>Pattern: corrosion control is decreasing, but remains good against the target.</w:t>
      </w:r>
      <w:r>
        <w:br/>
      </w:r>
      <w:r>
        <w:rPr>
          <w:i/>
          <w:color w:val="333333"/>
          <w:sz w:val="19"/>
        </w:rPr>
        <w:t>Mild steel corrosion remained broadly stable across the month, while copper corrosion decreased across the month.</w:t>
      </w:r>
      <w:r>
        <w:br/>
      </w:r>
      <w:r>
        <w:rPr>
          <w:i/>
          <w:color w:val="333333"/>
          <w:sz w:val="19"/>
        </w:rPr>
        <w:t>MS was within the 3.0 MPY target, and Cu was within the 0.5 MPY target.</w:t>
      </w:r>
      <w:r>
        <w:br/>
      </w:r>
      <w:r>
        <w:rPr>
          <w:i/>
          <w:color w:val="333333"/>
          <w:sz w:val="19"/>
        </w:rPr>
        <w:t>Likely reason: inhibitor residual and operating chemistry are keeping corrosion protected.</w:t>
      </w:r>
    </w:p>
    <w:p>
      <w:pPr>
        <w:spacing w:before="200" w:after="60"/>
      </w:pPr>
      <w:r>
        <w:rPr>
          <w:b/>
          <w:color w:val="005F58"/>
          <w:sz w:val="26"/>
        </w:rPr>
        <w:t>Traced Product Control Trend</w:t>
      </w:r>
    </w:p>
    <w:p>
      <w:pPr>
        <w:jc w:val="center"/>
      </w:pPr>
      <w:r>
        <w:drawing>
          <wp:inline xmlns:a="http://schemas.openxmlformats.org/drawingml/2006/main" xmlns:pic="http://schemas.openxmlformats.org/drawingml/2006/picture">
            <wp:extent cx="5486400" cy="2568696"/>
            <wp:docPr id="2" name="Picture 2"/>
            <wp:cNvGraphicFramePr>
              <a:graphicFrameLocks noChangeAspect="1"/>
            </wp:cNvGraphicFramePr>
            <a:graphic>
              <a:graphicData uri="http://schemas.openxmlformats.org/drawingml/2006/picture">
                <pic:pic>
                  <pic:nvPicPr>
                    <pic:cNvPr id="0" name="st_joseph_s_hospital_savannah_ga_us_controllers_84253fab8cc5_july_2026_traced_product.png"/>
                    <pic:cNvPicPr/>
                  </pic:nvPicPr>
                  <pic:blipFill>
                    <a:blip r:embed="rId12"/>
                    <a:stretch>
                      <a:fillRect/>
                    </a:stretch>
                  </pic:blipFill>
                  <pic:spPr>
                    <a:xfrm>
                      <a:off x="0" y="0"/>
                      <a:ext cx="5486400" cy="2568696"/>
                    </a:xfrm>
                    <a:prstGeom prst="rect"/>
                  </pic:spPr>
                </pic:pic>
              </a:graphicData>
            </a:graphic>
          </wp:inline>
        </w:drawing>
      </w:r>
    </w:p>
    <w:p>
      <w:pPr>
        <w:spacing w:after="120"/>
        <w:jc w:val="center"/>
      </w:pPr>
      <w:r>
        <w:rPr>
          <w:i/>
          <w:color w:val="444444"/>
          <w:sz w:val="17"/>
        </w:rPr>
        <w:t>Figure 2: Traced Product — July 2026</w:t>
      </w:r>
    </w:p>
    <w:p>
      <w:pPr>
        <w:spacing w:before="40" w:after="200"/>
      </w:pPr>
      <w:r>
        <w:rPr>
          <w:b/>
          <w:i/>
          <w:color w:val="333333"/>
          <w:sz w:val="19"/>
        </w:rPr>
        <w:t xml:space="preserve">Comment: </w:t>
      </w:r>
      <w:r>
        <w:rPr>
          <w:i/>
          <w:color w:val="333333"/>
          <w:sz w:val="19"/>
        </w:rPr>
        <w:t>Pattern: Traced Product is still not maintained at the end of the month.</w:t>
      </w:r>
      <w:r>
        <w:br/>
      </w:r>
      <w:r>
        <w:rPr>
          <w:i/>
          <w:color w:val="333333"/>
          <w:sz w:val="19"/>
        </w:rPr>
        <w:t>The trend moved from about 46.5 ppm at the start to 44.8 ppm at the end.</w:t>
      </w:r>
      <w:r>
        <w:br/>
      </w:r>
      <w:r>
        <w:rPr>
          <w:i/>
          <w:color w:val="333333"/>
          <w:sz w:val="19"/>
        </w:rPr>
        <w:t>The Traced Product average was above the configured range. The monthly in-range performance was 47.9%.</w:t>
      </w:r>
      <w:r>
        <w:br/>
      </w:r>
      <w:r>
        <w:rPr>
          <w:i/>
          <w:color w:val="333333"/>
          <w:sz w:val="19"/>
        </w:rPr>
        <w:t>Likely reason: feed is recovering from overfeed; review pump stroke or calibration if it does not return to range.</w:t>
      </w:r>
    </w:p>
    <w:p>
      <w:pPr>
        <w:spacing w:before="200" w:after="60"/>
      </w:pPr>
      <w:r>
        <w:rPr>
          <w:b/>
          <w:color w:val="005F58"/>
          <w:sz w:val="26"/>
        </w:rPr>
        <w:t>ORP vs Copper Corrosion Rate</w:t>
      </w:r>
    </w:p>
    <w:p>
      <w:pPr>
        <w:jc w:val="center"/>
      </w:pPr>
      <w:r>
        <w:drawing>
          <wp:inline xmlns:a="http://schemas.openxmlformats.org/drawingml/2006/main" xmlns:pic="http://schemas.openxmlformats.org/drawingml/2006/picture">
            <wp:extent cx="5486400" cy="2573061"/>
            <wp:docPr id="3" name="Picture 3"/>
            <wp:cNvGraphicFramePr>
              <a:graphicFrameLocks noChangeAspect="1"/>
            </wp:cNvGraphicFramePr>
            <a:graphic>
              <a:graphicData uri="http://schemas.openxmlformats.org/drawingml/2006/picture">
                <pic:pic>
                  <pic:nvPicPr>
                    <pic:cNvPr id="0" name="st_joseph_s_hospital_savannah_ga_us_controllers_84253fab8cc5_july_2026_orp_corrosion.png"/>
                    <pic:cNvPicPr/>
                  </pic:nvPicPr>
                  <pic:blipFill>
                    <a:blip r:embed="rId13"/>
                    <a:stretch>
                      <a:fillRect/>
                    </a:stretch>
                  </pic:blipFill>
                  <pic:spPr>
                    <a:xfrm>
                      <a:off x="0" y="0"/>
                      <a:ext cx="5486400" cy="2573061"/>
                    </a:xfrm>
                    <a:prstGeom prst="rect"/>
                  </pic:spPr>
                </pic:pic>
              </a:graphicData>
            </a:graphic>
          </wp:inline>
        </w:drawing>
      </w:r>
    </w:p>
    <w:p>
      <w:pPr>
        <w:spacing w:after="120"/>
        <w:jc w:val="center"/>
      </w:pPr>
      <w:r>
        <w:rPr>
          <w:i/>
          <w:color w:val="444444"/>
          <w:sz w:val="17"/>
        </w:rPr>
        <w:t>Figure 3: ORP vs Copper Corrosion Rate — July 2026</w:t>
      </w:r>
    </w:p>
    <w:p>
      <w:pPr>
        <w:spacing w:before="40" w:after="200"/>
      </w:pPr>
      <w:r>
        <w:rPr>
          <w:b/>
          <w:i/>
          <w:color w:val="333333"/>
          <w:sz w:val="19"/>
        </w:rPr>
        <w:t xml:space="preserve">Comment: </w:t>
      </w:r>
      <w:r>
        <w:rPr>
          <w:i/>
          <w:color w:val="333333"/>
          <w:sz w:val="19"/>
        </w:rPr>
        <w:t>Pattern: ORP response is increasing across the month.</w:t>
      </w:r>
      <w:r>
        <w:br/>
      </w:r>
      <w:r>
        <w:rPr>
          <w:i/>
          <w:color w:val="333333"/>
          <w:sz w:val="19"/>
        </w:rPr>
        <w:t>ORP showed a visible spike response pattern during the month without relying on absolute ORP values.</w:t>
      </w:r>
      <w:r>
        <w:br/>
      </w:r>
      <w:r>
        <w:rPr>
          <w:i/>
          <w:color w:val="333333"/>
          <w:sz w:val="19"/>
        </w:rPr>
        <w:t>Copper corrosion decreased across the month while the ORP pattern changed.</w:t>
      </w:r>
      <w:r>
        <w:br/>
      </w:r>
      <w:r>
        <w:rPr>
          <w:i/>
          <w:color w:val="333333"/>
          <w:sz w:val="19"/>
        </w:rPr>
        <w:t>Likely reason: biocide response is present and corrosion inhibitor is preventing a copper upset.</w:t>
      </w:r>
    </w:p>
    <w:p>
      <w:pPr>
        <w:spacing w:before="200" w:after="60"/>
      </w:pPr>
      <w:r>
        <w:rPr>
          <w:b/>
          <w:color w:val="005F58"/>
          <w:sz w:val="26"/>
        </w:rPr>
        <w:t>Oxidizing Biocide Pump Relay vs Copper Corrosion</w:t>
      </w:r>
    </w:p>
    <w:p>
      <w:pPr>
        <w:jc w:val="center"/>
      </w:pPr>
      <w:r>
        <w:drawing>
          <wp:inline xmlns:a="http://schemas.openxmlformats.org/drawingml/2006/main" xmlns:pic="http://schemas.openxmlformats.org/drawingml/2006/picture">
            <wp:extent cx="5486400" cy="2568696"/>
            <wp:docPr id="4" name="Picture 4"/>
            <wp:cNvGraphicFramePr>
              <a:graphicFrameLocks noChangeAspect="1"/>
            </wp:cNvGraphicFramePr>
            <a:graphic>
              <a:graphicData uri="http://schemas.openxmlformats.org/drawingml/2006/picture">
                <pic:pic>
                  <pic:nvPicPr>
                    <pic:cNvPr id="0" name="st_joseph_s_hospital_savannah_ga_us_controllers_84253fab8cc5_july_2026_biocide_corrosion.png"/>
                    <pic:cNvPicPr/>
                  </pic:nvPicPr>
                  <pic:blipFill>
                    <a:blip r:embed="rId14"/>
                    <a:stretch>
                      <a:fillRect/>
                    </a:stretch>
                  </pic:blipFill>
                  <pic:spPr>
                    <a:xfrm>
                      <a:off x="0" y="0"/>
                      <a:ext cx="5486400" cy="2568696"/>
                    </a:xfrm>
                    <a:prstGeom prst="rect"/>
                  </pic:spPr>
                </pic:pic>
              </a:graphicData>
            </a:graphic>
          </wp:inline>
        </w:drawing>
      </w:r>
    </w:p>
    <w:p>
      <w:pPr>
        <w:spacing w:after="120"/>
        <w:jc w:val="center"/>
      </w:pPr>
      <w:r>
        <w:rPr>
          <w:i/>
          <w:color w:val="444444"/>
          <w:sz w:val="17"/>
        </w:rPr>
        <w:t>Figure 4: Oxidizing Biocide Pump Relay vs Copper Corrosion — July 2026</w:t>
      </w:r>
    </w:p>
    <w:p>
      <w:pPr>
        <w:spacing w:before="40" w:after="200"/>
      </w:pPr>
      <w:r>
        <w:rPr>
          <w:b/>
          <w:i/>
          <w:color w:val="333333"/>
          <w:sz w:val="19"/>
        </w:rPr>
        <w:t xml:space="preserve">Comment: </w:t>
      </w:r>
      <w:r>
        <w:rPr>
          <w:i/>
          <w:color w:val="333333"/>
          <w:sz w:val="19"/>
        </w:rPr>
        <w:t>Pattern: biocide feed versus copper corrosion is decreasing, but remains good against the target.</w:t>
      </w:r>
      <w:r>
        <w:br/>
      </w:r>
      <w:r>
        <w:rPr>
          <w:i/>
          <w:color w:val="333333"/>
          <w:sz w:val="19"/>
        </w:rPr>
        <w:t>Biocide relay activity was present in the monthly trend.</w:t>
      </w:r>
      <w:r>
        <w:br/>
      </w:r>
      <w:r>
        <w:rPr>
          <w:i/>
          <w:color w:val="333333"/>
          <w:sz w:val="19"/>
        </w:rPr>
        <w:t>Relay activity increased across the month when the month is split into early and late periods.</w:t>
      </w:r>
      <w:r>
        <w:br/>
      </w:r>
      <w:r>
        <w:rPr>
          <w:i/>
          <w:color w:val="333333"/>
          <w:sz w:val="19"/>
        </w:rPr>
        <w:t>Likely reason: relay feed timing is adequate and copper corrosion remains protected.</w:t>
      </w:r>
    </w:p>
    <w:p>
      <w:pPr>
        <w:spacing w:before="200" w:after="60"/>
      </w:pPr>
      <w:r>
        <w:rPr>
          <w:b/>
          <w:color w:val="005F58"/>
          <w:sz w:val="26"/>
        </w:rPr>
        <w:t>Electrode Conductivity</w:t>
      </w:r>
    </w:p>
    <w:p>
      <w:pPr>
        <w:jc w:val="center"/>
      </w:pPr>
      <w:r>
        <w:drawing>
          <wp:inline xmlns:a="http://schemas.openxmlformats.org/drawingml/2006/main" xmlns:pic="http://schemas.openxmlformats.org/drawingml/2006/picture">
            <wp:extent cx="5486400" cy="2566519"/>
            <wp:docPr id="5" name="Picture 5"/>
            <wp:cNvGraphicFramePr>
              <a:graphicFrameLocks noChangeAspect="1"/>
            </wp:cNvGraphicFramePr>
            <a:graphic>
              <a:graphicData uri="http://schemas.openxmlformats.org/drawingml/2006/picture">
                <pic:pic>
                  <pic:nvPicPr>
                    <pic:cNvPr id="0" name="st_joseph_s_hospital_savannah_ga_us_controllers_84253fab8cc5_july_2026_conductivity.png"/>
                    <pic:cNvPicPr/>
                  </pic:nvPicPr>
                  <pic:blipFill>
                    <a:blip r:embed="rId15"/>
                    <a:stretch>
                      <a:fillRect/>
                    </a:stretch>
                  </pic:blipFill>
                  <pic:spPr>
                    <a:xfrm>
                      <a:off x="0" y="0"/>
                      <a:ext cx="5486400" cy="2566519"/>
                    </a:xfrm>
                    <a:prstGeom prst="rect"/>
                  </pic:spPr>
                </pic:pic>
              </a:graphicData>
            </a:graphic>
          </wp:inline>
        </w:drawing>
      </w:r>
    </w:p>
    <w:p>
      <w:pPr>
        <w:spacing w:after="120"/>
        <w:jc w:val="center"/>
      </w:pPr>
      <w:r>
        <w:rPr>
          <w:i/>
          <w:color w:val="444444"/>
          <w:sz w:val="17"/>
        </w:rPr>
        <w:t>Figure 5: Electrode Conductivity — July 2026</w:t>
      </w:r>
    </w:p>
    <w:p>
      <w:pPr>
        <w:spacing w:before="40" w:after="200"/>
      </w:pPr>
      <w:r>
        <w:rPr>
          <w:b/>
          <w:i/>
          <w:color w:val="333333"/>
          <w:sz w:val="19"/>
        </w:rPr>
        <w:t xml:space="preserve">Comment: </w:t>
      </w:r>
      <w:r>
        <w:rPr>
          <w:i/>
          <w:color w:val="333333"/>
          <w:sz w:val="19"/>
        </w:rPr>
        <w:t>Pattern: conductivity remains good and stable across the month.</w:t>
      </w:r>
      <w:r>
        <w:br/>
      </w:r>
      <w:r>
        <w:rPr>
          <w:i/>
          <w:color w:val="333333"/>
          <w:sz w:val="19"/>
        </w:rPr>
        <w:t>The trend moved from about 596.3 µS/cm at the start to 599.0 µS/cm at the end.</w:t>
      </w:r>
      <w:r>
        <w:br/>
      </w:r>
      <w:r>
        <w:rPr>
          <w:i/>
          <w:color w:val="333333"/>
          <w:sz w:val="19"/>
        </w:rPr>
        <w:t>The conductivity average was within the configured range. The monthly in-range performance was 83.7%.</w:t>
      </w:r>
      <w:r>
        <w:br/>
      </w:r>
      <w:r>
        <w:rPr>
          <w:i/>
          <w:color w:val="333333"/>
          <w:sz w:val="19"/>
        </w:rPr>
        <w:t>Likely reason: makeup and blowdown control are balanced, so tower cycles remained steady.</w:t>
      </w:r>
    </w:p>
    <w:p>
      <w:r>
        <w:br w:type="page"/>
      </w:r>
    </w:p>
    <w:p>
      <w:pPr>
        <w:pBdr>
          <w:bottom w:val="single" w:sz="8" w:space="4" w:color="00857C"/>
        </w:pBdr>
        <w:spacing w:before="280" w:after="80"/>
      </w:pPr>
      <w:r>
        <w:rPr>
          <w:b/>
          <w:color w:val="00857C"/>
          <w:sz w:val="32"/>
        </w:rPr>
        <w:t>Closing Summary</w:t>
      </w:r>
    </w:p>
    <w:p>
      <w:pPr>
        <w:spacing w:before="80" w:after="120"/>
        <w:jc w:val="left"/>
      </w:pPr>
      <w:r>
        <w:rPr>
          <w:b w:val="0"/>
          <w:i w:val="0"/>
          <w:sz w:val="20"/>
        </w:rPr>
        <w:t>Overall July performance was strong for corrosion control and water efficiency, with conductivity and COC maintained close to target. The main follow-up items are to confirm ORP/FRC recovery after the sample-line service and continue improving Traced Product control until end-of-month performance is consistently maintained.</w:t>
      </w:r>
    </w:p>
    <w:sectPr w:rsidR="00FC693F" w:rsidRPr="0006063C" w:rsidSect="00034616">
      <w:headerReference w:type="default" r:id="rId9"/>
      <w:footerReference w:type="default" r:id="rId10"/>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44444"/>
        <w:sz w:val="16"/>
      </w:rPr>
      <w:t>Buckman Digital Water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00857C"/>
      </w:pBdr>
    </w:pPr>
    <w:r>
      <w:rPr>
        <w:color w:val="444444"/>
        <w:sz w:val="16"/>
      </w:rPr>
      <w:t>Buckman  |  St. Joseph's Hospital Savannah GA (US)  |  July 2026 Cooling Water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