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60"/>
        <w:jc w:val="center"/>
      </w:pPr>
      <w:r>
        <w:rPr>
          <w:b/>
          <w:i w:val="0"/>
          <w:color w:val="444444"/>
          <w:sz w:val="20"/>
        </w:rPr>
        <w:t>BUCKMAN DIGITAL WATER</w:t>
      </w:r>
    </w:p>
    <w:p>
      <w:pPr>
        <w:spacing w:before="60" w:after="60"/>
        <w:jc w:val="center"/>
      </w:pPr>
      <w:r>
        <w:rPr>
          <w:b/>
          <w:i w:val="0"/>
          <w:sz w:val="40"/>
        </w:rPr>
        <w:t>Monthly Cooling Water Performance Report</w:t>
      </w:r>
    </w:p>
    <w:p>
      <w:pPr>
        <w:spacing w:before="60" w:after="200"/>
        <w:jc w:val="center"/>
      </w:pPr>
      <w:r>
        <w:rPr>
          <w:b/>
          <w:i w:val="0"/>
          <w:color w:val="00857C"/>
          <w:sz w:val="30"/>
        </w:rPr>
        <w:t>St. Joseph's Hospital Savannah GA (US)</w:t>
      </w:r>
    </w:p>
    <w:p>
      <w:pPr>
        <w:spacing w:before="60" w:after="360"/>
        <w:jc w:val="center"/>
      </w:pPr>
      <w:r>
        <w:rPr>
          <w:b w:val="0"/>
          <w:i w:val="0"/>
          <w:color w:val="444444"/>
          <w:sz w:val="20"/>
        </w:rPr>
        <w:t>Reporting Month: May 2026</w:t>
      </w:r>
    </w:p>
    <w:tbl>
      <w:tblPr>
        <w:tblStyle w:val="TableGrid"/>
        <w:tblW w:type="auto" w:w="0"/>
        <w:tblLook w:firstColumn="1" w:firstRow="1" w:lastColumn="0" w:lastRow="0" w:noHBand="0" w:noVBand="1" w:val="04A0"/>
      </w:tblPr>
      <w:tblGrid>
        <w:gridCol w:w="2521"/>
        <w:gridCol w:w="2521"/>
        <w:gridCol w:w="2521"/>
        <w:gridCol w:w="2521"/>
      </w:tblGrid>
      <w:tr>
        <w:tc>
          <w:tcPr>
            <w:tcW w:type="dxa" w:w="3118"/>
            <w:shd w:val="clear" w:color="auto" w:fill="00857C"/>
          </w:tcPr>
          <w:p>
            <w:pPr>
              <w:spacing w:before="60" w:after="60"/>
            </w:pPr>
            <w:r>
              <w:rPr>
                <w:b/>
                <w:color w:val="FFFFFF"/>
                <w:sz w:val="18"/>
              </w:rPr>
              <w:t>Customer / Site</w:t>
            </w:r>
          </w:p>
        </w:tc>
        <w:tc>
          <w:tcPr>
            <w:tcW w:type="dxa" w:w="1701"/>
            <w:shd w:val="clear" w:color="auto" w:fill="00857C"/>
          </w:tcPr>
          <w:p>
            <w:pPr>
              <w:spacing w:before="60" w:after="60"/>
            </w:pPr>
            <w:r>
              <w:rPr>
                <w:b/>
                <w:color w:val="FFFFFF"/>
                <w:sz w:val="18"/>
              </w:rPr>
              <w:t>System</w:t>
            </w:r>
          </w:p>
        </w:tc>
        <w:tc>
          <w:tcPr>
            <w:tcW w:type="dxa" w:w="1984"/>
            <w:shd w:val="clear" w:color="auto" w:fill="00857C"/>
          </w:tcPr>
          <w:p>
            <w:pPr>
              <w:spacing w:before="60" w:after="60"/>
            </w:pPr>
            <w:r>
              <w:rPr>
                <w:b/>
                <w:color w:val="FFFFFF"/>
                <w:sz w:val="18"/>
              </w:rPr>
              <w:t>Controller</w:t>
            </w:r>
          </w:p>
        </w:tc>
        <w:tc>
          <w:tcPr>
            <w:tcW w:type="dxa" w:w="2551"/>
            <w:shd w:val="clear" w:color="auto" w:fill="00857C"/>
          </w:tcPr>
          <w:p>
            <w:pPr>
              <w:spacing w:before="60" w:after="60"/>
            </w:pPr>
            <w:r>
              <w:rPr>
                <w:b/>
                <w:color w:val="FFFFFF"/>
                <w:sz w:val="18"/>
              </w:rPr>
              <w:t>Prepared For</w:t>
            </w:r>
          </w:p>
        </w:tc>
      </w:tr>
      <w:tr>
        <w:tc>
          <w:tcPr>
            <w:tcW w:type="dxa" w:w="3118"/>
            <w:shd w:val="clear" w:color="auto" w:fill="FFFFFF"/>
          </w:tcPr>
          <w:p>
            <w:pPr>
              <w:spacing w:before="60" w:after="60"/>
            </w:pPr>
            <w:r>
              <w:rPr>
                <w:sz w:val="18"/>
              </w:rPr>
              <w:t>St. Joseph's Hospital Savannah GA (US)</w:t>
            </w:r>
          </w:p>
        </w:tc>
        <w:tc>
          <w:tcPr>
            <w:tcW w:type="dxa" w:w="1701"/>
            <w:shd w:val="clear" w:color="auto" w:fill="FFFFFF"/>
          </w:tcPr>
          <w:p>
            <w:pPr>
              <w:spacing w:before="60" w:after="60"/>
            </w:pPr>
            <w:r>
              <w:rPr>
                <w:sz w:val="18"/>
              </w:rPr>
              <w:t>Cooling Tower</w:t>
            </w:r>
          </w:p>
        </w:tc>
        <w:tc>
          <w:tcPr>
            <w:tcW w:type="dxa" w:w="1984"/>
            <w:shd w:val="clear" w:color="auto" w:fill="FFFFFF"/>
          </w:tcPr>
          <w:p>
            <w:pPr>
              <w:spacing w:before="60" w:after="60"/>
            </w:pPr>
            <w:r>
              <w:rPr>
                <w:sz w:val="18"/>
              </w:rPr>
              <w:t>84253FAB8CC5</w:t>
            </w:r>
          </w:p>
        </w:tc>
        <w:tc>
          <w:tcPr>
            <w:tcW w:type="dxa" w:w="2551"/>
            <w:shd w:val="clear" w:color="auto" w:fill="FFFFFF"/>
          </w:tcPr>
          <w:p>
            <w:pPr>
              <w:spacing w:before="60" w:after="60"/>
            </w:pPr>
            <w:r>
              <w:rPr>
                <w:sz w:val="18"/>
              </w:rPr>
              <w:t>Monthly Performance Review</w:t>
            </w:r>
          </w:p>
        </w:tc>
      </w:tr>
    </w:tbl>
    <w:p/>
    <w:p>
      <w:pPr>
        <w:spacing w:before="200" w:after="120"/>
        <w:jc w:val="left"/>
      </w:pPr>
    </w:p>
    <w:p>
      <w:pPr>
        <w:spacing w:before="80" w:after="120"/>
        <w:jc w:val="center"/>
      </w:pPr>
      <w:r>
        <w:rPr>
          <w:b w:val="0"/>
          <w:i w:val="0"/>
          <w:color w:val="444444"/>
          <w:sz w:val="19"/>
        </w:rPr>
        <w:t>This report summarises corrosion control, scale control, microbial control, water efficiency, product efficiency, and proactive system support for St. Joseph's Hospital Savannah GA (US), May 2026, using controller setpoints, telemetry KPIs, field data, and service note records.</w:t>
      </w:r>
    </w:p>
    <w:p>
      <w:pPr>
        <w:spacing w:before="200" w:after="120"/>
        <w:jc w:val="left"/>
      </w:pPr>
    </w:p>
    <w:tbl>
      <w:tblPr>
        <w:tblStyle w:val="TableGrid"/>
        <w:tblW w:type="auto" w:w="0"/>
        <w:tblLook w:firstColumn="1" w:firstRow="1" w:lastColumn="0" w:lastRow="0" w:noHBand="0" w:noVBand="1" w:val="04A0"/>
      </w:tblPr>
      <w:tblGrid>
        <w:gridCol w:w="3362"/>
        <w:gridCol w:w="3362"/>
        <w:gridCol w:w="3362"/>
      </w:tblGrid>
      <w:tr>
        <w:tc>
          <w:tcPr>
            <w:tcW w:type="dxa" w:w="3118"/>
            <w:shd w:val="clear" w:color="auto" w:fill="00857C"/>
          </w:tcPr>
          <w:p>
            <w:pPr>
              <w:spacing w:before="60" w:after="60"/>
            </w:pPr>
            <w:r>
              <w:rPr>
                <w:b/>
                <w:color w:val="FFFFFF"/>
                <w:sz w:val="18"/>
              </w:rPr>
              <w:t>Prepared By</w:t>
            </w:r>
          </w:p>
        </w:tc>
        <w:tc>
          <w:tcPr>
            <w:tcW w:type="dxa" w:w="2835"/>
            <w:shd w:val="clear" w:color="auto" w:fill="00857C"/>
          </w:tcPr>
          <w:p>
            <w:pPr>
              <w:spacing w:before="60" w:after="60"/>
            </w:pPr>
            <w:r>
              <w:rPr>
                <w:b/>
                <w:color w:val="FFFFFF"/>
                <w:sz w:val="18"/>
              </w:rPr>
              <w:t>Prepared Date</w:t>
            </w:r>
          </w:p>
        </w:tc>
        <w:tc>
          <w:tcPr>
            <w:tcW w:type="dxa" w:w="3402"/>
            <w:shd w:val="clear" w:color="auto" w:fill="00857C"/>
          </w:tcPr>
          <w:p>
            <w:pPr>
              <w:spacing w:before="60" w:after="60"/>
            </w:pPr>
            <w:r>
              <w:rPr>
                <w:b/>
                <w:color w:val="FFFFFF"/>
                <w:sz w:val="18"/>
              </w:rPr>
              <w:t>Report Status</w:t>
            </w:r>
          </w:p>
        </w:tc>
      </w:tr>
      <w:tr>
        <w:tc>
          <w:tcPr>
            <w:tcW w:type="dxa" w:w="3118"/>
            <w:shd w:val="clear" w:color="auto" w:fill="FFFFFF"/>
          </w:tcPr>
          <w:p>
            <w:pPr>
              <w:spacing w:before="60" w:after="60"/>
            </w:pPr>
            <w:r>
              <w:rPr>
                <w:sz w:val="18"/>
              </w:rPr>
              <w:t>Buckman Digital Water</w:t>
            </w:r>
          </w:p>
        </w:tc>
        <w:tc>
          <w:tcPr>
            <w:tcW w:type="dxa" w:w="2835"/>
            <w:shd w:val="clear" w:color="auto" w:fill="FFFFFF"/>
          </w:tcPr>
          <w:p>
            <w:pPr>
              <w:spacing w:before="60" w:after="60"/>
            </w:pPr>
            <w:r>
              <w:rPr>
                <w:sz w:val="18"/>
              </w:rPr>
              <w:t>24 August 2026</w:t>
            </w:r>
          </w:p>
        </w:tc>
        <w:tc>
          <w:tcPr>
            <w:tcW w:type="dxa" w:w="3402"/>
            <w:shd w:val="clear" w:color="auto" w:fill="FFFFFF"/>
          </w:tcPr>
          <w:p>
            <w:pPr>
              <w:spacing w:before="60" w:after="60"/>
            </w:pPr>
            <w:r>
              <w:rPr>
                <w:sz w:val="18"/>
              </w:rPr>
              <w:t>Draft</w:t>
            </w:r>
          </w:p>
        </w:tc>
      </w:tr>
    </w:tbl>
    <w:p/>
    <w:p>
      <w:r>
        <w:br w:type="page"/>
      </w:r>
    </w:p>
    <w:p>
      <w:pPr>
        <w:pBdr>
          <w:bottom w:val="single" w:sz="8" w:space="4" w:color="00857C"/>
        </w:pBdr>
        <w:spacing w:before="280" w:after="80"/>
      </w:pPr>
      <w:r>
        <w:rPr>
          <w:b/>
          <w:color w:val="00857C"/>
          <w:sz w:val="32"/>
        </w:rPr>
        <w:t>Executive Summary</w:t>
      </w:r>
    </w:p>
    <w:p>
      <w:pPr>
        <w:spacing w:before="200" w:after="60"/>
      </w:pPr>
      <w:r>
        <w:rPr>
          <w:b/>
          <w:color w:val="005F58"/>
          <w:sz w:val="26"/>
        </w:rPr>
        <w:t>System Health Check</w:t>
      </w:r>
    </w:p>
    <w:p>
      <w:pPr>
        <w:spacing w:before="160" w:after="40"/>
      </w:pPr>
      <w:r>
        <w:rPr>
          <w:b/>
          <w:color w:val="222222"/>
          <w:sz w:val="22"/>
        </w:rPr>
        <w:t>Corrosion Control</w:t>
      </w:r>
    </w:p>
    <w:p>
      <w:pPr>
        <w:spacing w:before="60" w:after="100"/>
      </w:pPr>
      <w:r>
        <w:rPr>
          <w:b/>
          <w:sz w:val="20"/>
        </w:rPr>
        <w:t xml:space="preserve">Status: </w:t>
      </w:r>
      <w:r>
        <w:rPr>
          <w:b/>
          <w:color w:val="00857C"/>
          <w:sz w:val="20"/>
        </w:rPr>
        <w:t>Excellent</w:t>
      </w:r>
    </w:p>
    <w:p>
      <w:pPr>
        <w:spacing w:before="80" w:after="120"/>
        <w:jc w:val="left"/>
      </w:pPr>
      <w:r>
        <w:rPr>
          <w:b w:val="0"/>
          <w:i w:val="0"/>
          <w:sz w:val="20"/>
        </w:rPr>
        <w:t>The average mild steel corrosion rate was 0.10 MPY against the target of within 3.0 MPY, and the average copper corrosion rate was 0.0474 MPY against the target of within 0.5 MPY. Corrosion control status was Good, with both metals remaining well within the expected control limits for the reporting period.</w:t>
      </w:r>
    </w:p>
    <w:p>
      <w:pPr>
        <w:spacing w:before="160" w:after="40"/>
      </w:pPr>
      <w:r>
        <w:rPr>
          <w:b/>
          <w:color w:val="222222"/>
          <w:sz w:val="22"/>
        </w:rPr>
        <w:t>Scale Control</w:t>
      </w:r>
    </w:p>
    <w:p>
      <w:pPr>
        <w:spacing w:before="60" w:after="100"/>
      </w:pPr>
      <w:r>
        <w:rPr>
          <w:b/>
          <w:sz w:val="20"/>
        </w:rPr>
        <w:t xml:space="preserve">Status: </w:t>
      </w:r>
      <w:r>
        <w:rPr>
          <w:b/>
          <w:color w:val="B8860B"/>
          <w:sz w:val="20"/>
        </w:rPr>
        <w:t>Acceptable</w:t>
      </w:r>
    </w:p>
    <w:p>
      <w:pPr>
        <w:spacing w:before="80" w:after="120"/>
        <w:jc w:val="left"/>
      </w:pPr>
      <w:r>
        <w:rPr>
          <w:b w:val="0"/>
          <w:i w:val="0"/>
          <w:sz w:val="20"/>
        </w:rPr>
        <w:t>Traced Product was within the Controller Setpoint control range for 58.6% of the reporting month. Polymer consumption rate averaged 25.9% and increased from 20.1% at the start of the month to 35.5% at the end of the month. The product was higher than target during the initial part of the month and moved closer to the control band later, but end-of-month control was 66.1% within range, so it is not yet consistently maintained well. The end-of-month traced product deviation from setpoint is minimal, so the control logic will be optimised. Traced Product was higher than Tagged Polymer for 100.0% of the month. The calculated polymer consumption rate increased from 21.9% early in the month to 29.8% later in the month, so scale control needs attention. ADE phosphate and silica residuals were not available on or after the date the increasing polymer consumption trend was noticed and will be measured during the upcoming service visit. Conductivity and polymer consumption increased together, indicating the change is due to an increase in cycles of concentration.</w:t>
      </w:r>
    </w:p>
    <w:p>
      <w:pPr>
        <w:spacing w:before="160" w:after="40"/>
      </w:pPr>
      <w:r>
        <w:rPr>
          <w:b/>
          <w:color w:val="222222"/>
          <w:sz w:val="22"/>
        </w:rPr>
        <w:t>Microbial Control</w:t>
      </w:r>
    </w:p>
    <w:p>
      <w:pPr>
        <w:spacing w:before="60" w:after="100"/>
      </w:pPr>
      <w:r>
        <w:rPr>
          <w:b/>
          <w:sz w:val="20"/>
        </w:rPr>
        <w:t xml:space="preserve">Status: </w:t>
      </w:r>
      <w:r>
        <w:rPr>
          <w:b/>
          <w:color w:val="B8860B"/>
          <w:sz w:val="20"/>
        </w:rPr>
        <w:t>Acceptable</w:t>
      </w:r>
    </w:p>
    <w:p>
      <w:pPr>
        <w:spacing w:before="80" w:after="120"/>
        <w:jc w:val="left"/>
      </w:pPr>
      <w:r>
        <w:rPr>
          <w:b w:val="0"/>
          <w:i w:val="0"/>
          <w:sz w:val="20"/>
        </w:rPr>
        <w:t>FRC data was not available in the field test data for this reporting period and will be checked during the upcoming service visit. ORP spike response after timer-controlled biocide feed was consistent, indicating the system responded to treatment. Biocide pump activation was observed during the reporting period, supporting a Stable microbial control status.</w:t>
      </w:r>
    </w:p>
    <w:p>
      <w:pPr>
        <w:spacing w:before="80" w:after="120"/>
        <w:jc w:val="left"/>
      </w:pPr>
      <w:r>
        <w:rPr>
          <w:b w:val="0"/>
          <w:i w:val="0"/>
          <w:sz w:val="20"/>
        </w:rPr>
        <w:t>Dip-slide analysis was not available for this reporting period and will be measured during the upcoming service visit.</w:t>
      </w:r>
    </w:p>
    <w:p>
      <w:pPr>
        <w:spacing w:before="200" w:after="60"/>
      </w:pPr>
      <w:r>
        <w:rPr>
          <w:b/>
          <w:color w:val="005F58"/>
          <w:sz w:val="26"/>
        </w:rPr>
        <w:t>Water Efficiency</w:t>
      </w:r>
    </w:p>
    <w:p>
      <w:pPr>
        <w:spacing w:before="60" w:after="100"/>
      </w:pPr>
      <w:r>
        <w:rPr>
          <w:b/>
          <w:sz w:val="20"/>
        </w:rPr>
        <w:t xml:space="preserve">Status: </w:t>
      </w:r>
      <w:r>
        <w:rPr>
          <w:b/>
          <w:color w:val="B8860B"/>
          <w:sz w:val="20"/>
        </w:rPr>
        <w:t>Acceptable</w:t>
      </w:r>
    </w:p>
    <w:tbl>
      <w:tblPr>
        <w:tblStyle w:val="TableGrid"/>
        <w:tblW w:type="auto" w:w="0"/>
        <w:tblLook w:firstColumn="1" w:firstRow="1" w:lastColumn="0" w:lastRow="0" w:noHBand="0" w:noVBand="1" w:val="04A0"/>
      </w:tblPr>
      <w:tblGrid>
        <w:gridCol w:w="2017"/>
        <w:gridCol w:w="2017"/>
        <w:gridCol w:w="2017"/>
        <w:gridCol w:w="2017"/>
        <w:gridCol w:w="2017"/>
      </w:tblGrid>
      <w:tr>
        <w:tc>
          <w:tcPr>
            <w:tcW w:type="dxa" w:w="1928"/>
            <w:shd w:val="clear" w:color="auto" w:fill="00857C"/>
          </w:tcPr>
          <w:p>
            <w:pPr>
              <w:spacing w:before="60" w:after="60"/>
            </w:pPr>
            <w:r>
              <w:rPr>
                <w:b/>
                <w:color w:val="FFFFFF"/>
                <w:sz w:val="18"/>
              </w:rPr>
              <w:t>MU Conductivity</w:t>
            </w:r>
          </w:p>
        </w:tc>
        <w:tc>
          <w:tcPr>
            <w:tcW w:type="dxa" w:w="1928"/>
            <w:shd w:val="clear" w:color="auto" w:fill="00857C"/>
          </w:tcPr>
          <w:p>
            <w:pPr>
              <w:spacing w:before="60" w:after="60"/>
            </w:pPr>
            <w:r>
              <w:rPr>
                <w:b/>
                <w:color w:val="FFFFFF"/>
                <w:sz w:val="18"/>
              </w:rPr>
              <w:t>Target COC</w:t>
            </w:r>
          </w:p>
        </w:tc>
        <w:tc>
          <w:tcPr>
            <w:tcW w:type="dxa" w:w="1928"/>
            <w:shd w:val="clear" w:color="auto" w:fill="00857C"/>
          </w:tcPr>
          <w:p>
            <w:pPr>
              <w:spacing w:before="60" w:after="60"/>
            </w:pPr>
            <w:r>
              <w:rPr>
                <w:b/>
                <w:color w:val="FFFFFF"/>
                <w:sz w:val="18"/>
              </w:rPr>
              <w:t>Actual COC</w:t>
            </w:r>
          </w:p>
        </w:tc>
        <w:tc>
          <w:tcPr>
            <w:tcW w:type="dxa" w:w="1928"/>
            <w:shd w:val="clear" w:color="auto" w:fill="00857C"/>
          </w:tcPr>
          <w:p>
            <w:pPr>
              <w:spacing w:before="60" w:after="60"/>
            </w:pPr>
            <w:r>
              <w:rPr>
                <w:b/>
                <w:color w:val="FFFFFF"/>
                <w:sz w:val="18"/>
              </w:rPr>
              <w:t>Deviation</w:t>
            </w:r>
          </w:p>
        </w:tc>
        <w:tc>
          <w:tcPr>
            <w:tcW w:type="dxa" w:w="1928"/>
            <w:shd w:val="clear" w:color="auto" w:fill="00857C"/>
          </w:tcPr>
          <w:p>
            <w:pPr>
              <w:spacing w:before="60" w:after="60"/>
            </w:pPr>
            <w:r>
              <w:rPr>
                <w:b/>
                <w:color w:val="FFFFFF"/>
                <w:sz w:val="18"/>
              </w:rPr>
              <w:t>Status</w:t>
            </w:r>
          </w:p>
        </w:tc>
      </w:tr>
      <w:tr>
        <w:tc>
          <w:tcPr>
            <w:tcW w:type="dxa" w:w="1928"/>
            <w:shd w:val="clear" w:color="auto" w:fill="FFFFFF"/>
          </w:tcPr>
          <w:p>
            <w:pPr>
              <w:spacing w:before="60" w:after="60"/>
            </w:pPr>
            <w:r>
              <w:rPr>
                <w:sz w:val="18"/>
              </w:rPr>
              <w:t>224.4 µS/cm</w:t>
            </w:r>
          </w:p>
        </w:tc>
        <w:tc>
          <w:tcPr>
            <w:tcW w:type="dxa" w:w="1928"/>
            <w:shd w:val="clear" w:color="auto" w:fill="FFFFFF"/>
          </w:tcPr>
          <w:p>
            <w:pPr>
              <w:spacing w:before="60" w:after="60"/>
            </w:pPr>
            <w:r>
              <w:rPr>
                <w:sz w:val="18"/>
              </w:rPr>
              <w:t>2.67</w:t>
            </w:r>
          </w:p>
        </w:tc>
        <w:tc>
          <w:tcPr>
            <w:tcW w:type="dxa" w:w="1928"/>
            <w:shd w:val="clear" w:color="auto" w:fill="FFFFFF"/>
          </w:tcPr>
          <w:p>
            <w:pPr>
              <w:spacing w:before="60" w:after="60"/>
            </w:pPr>
            <w:r>
              <w:rPr>
                <w:sz w:val="18"/>
              </w:rPr>
              <w:t>3.23</w:t>
            </w:r>
          </w:p>
        </w:tc>
        <w:tc>
          <w:tcPr>
            <w:tcW w:type="dxa" w:w="1928"/>
            <w:shd w:val="clear" w:color="auto" w:fill="FFFFFF"/>
          </w:tcPr>
          <w:p>
            <w:pPr>
              <w:spacing w:before="60" w:after="60"/>
            </w:pPr>
            <w:r>
              <w:rPr>
                <w:sz w:val="18"/>
              </w:rPr>
              <w:t>20.8%</w:t>
            </w:r>
          </w:p>
        </w:tc>
        <w:tc>
          <w:tcPr>
            <w:tcW w:type="dxa" w:w="1928"/>
            <w:shd w:val="clear" w:color="auto" w:fill="FFFFFF"/>
          </w:tcPr>
          <w:p>
            <w:pPr>
              <w:spacing w:before="60" w:after="60"/>
            </w:pPr>
            <w:r>
              <w:rPr>
                <w:sz w:val="18"/>
              </w:rPr>
              <w:t>Acceptable</w:t>
            </w:r>
          </w:p>
        </w:tc>
      </w:tr>
    </w:tbl>
    <w:p/>
    <w:p>
      <w:pPr>
        <w:spacing w:before="80" w:after="120"/>
        <w:jc w:val="left"/>
      </w:pPr>
      <w:r>
        <w:rPr>
          <w:b w:val="0"/>
          <w:i w:val="0"/>
          <w:sz w:val="20"/>
        </w:rPr>
        <w:t>Water efficiency status was Good, with 90.0% of recent conductivity readings within the 570-630 uS/cm Controller Setpoint range. The actual COC was 2.9 compared with a target COC of 2.67, representing an 8.6% deviation from target. Conductivity averaged 651.4 uS/cm over 90 days, so blowdown control should continue to be monitored while the system remains close to the expected concentration range.</w:t>
      </w:r>
    </w:p>
    <w:p>
      <w:pPr>
        <w:spacing w:before="200" w:after="60"/>
      </w:pPr>
      <w:r>
        <w:rPr>
          <w:b/>
          <w:color w:val="005F58"/>
          <w:sz w:val="26"/>
        </w:rPr>
        <w:t>Product Efficiency</w:t>
      </w:r>
    </w:p>
    <w:p>
      <w:pPr>
        <w:spacing w:before="60" w:after="100"/>
      </w:pPr>
      <w:r>
        <w:rPr>
          <w:b/>
          <w:sz w:val="20"/>
        </w:rPr>
        <w:t xml:space="preserve">Status: </w:t>
      </w:r>
      <w:r>
        <w:rPr>
          <w:b/>
          <w:color w:val="B8860B"/>
          <w:sz w:val="20"/>
        </w:rPr>
        <w:t>Acceptable</w:t>
      </w:r>
    </w:p>
    <w:p>
      <w:pPr>
        <w:spacing w:before="80" w:after="120"/>
        <w:jc w:val="left"/>
      </w:pPr>
      <w:r>
        <w:rPr>
          <w:b w:val="0"/>
          <w:i w:val="0"/>
          <w:sz w:val="20"/>
        </w:rPr>
        <w:t>Traced Product dosing efficiency was well maintained because the 90-day mean was 44.5 ppm against the 43.0 ppm Controller Setpoint target and remained within the 40.9-45.1 ppm range. Actual Traced Product consumption was not available for this reporting period. The next service visit should verify feed consistency and fluorometer calibration because only 20.0% of recent readings were within the control range.</w:t>
      </w:r>
    </w:p>
    <w:p>
      <w:pPr>
        <w:spacing w:before="200" w:after="60"/>
      </w:pPr>
      <w:r>
        <w:rPr>
          <w:b/>
          <w:color w:val="005F58"/>
          <w:sz w:val="26"/>
        </w:rPr>
        <w:t>Proactive System Support</w:t>
      </w:r>
    </w:p>
    <w:p>
      <w:pPr>
        <w:spacing w:before="80" w:after="120"/>
        <w:jc w:val="left"/>
      </w:pPr>
      <w:r>
        <w:rPr>
          <w:b w:val="0"/>
          <w:i w:val="0"/>
          <w:sz w:val="20"/>
        </w:rPr>
        <w:t>Proactive System Support: No alarm data was available for this reporting period; Ackumen averages 6 alarms per controller for comparable monitored systems. No service notes were recorded, so there were no documented Actions Completed to incorporate for May 2026.</w:t>
      </w:r>
    </w:p>
    <w:p>
      <w:r>
        <w:br w:type="page"/>
      </w:r>
    </w:p>
    <w:p>
      <w:pPr>
        <w:pBdr>
          <w:bottom w:val="single" w:sz="8" w:space="4" w:color="00857C"/>
        </w:pBdr>
        <w:spacing w:before="280" w:after="80"/>
      </w:pPr>
      <w:r>
        <w:rPr>
          <w:b/>
          <w:color w:val="00857C"/>
          <w:sz w:val="32"/>
        </w:rPr>
        <w:t>Performance Summary</w:t>
      </w:r>
    </w:p>
    <w:p>
      <w:pPr>
        <w:spacing w:before="80" w:after="120"/>
        <w:jc w:val="left"/>
      </w:pPr>
      <w:r>
        <w:rPr>
          <w:b w:val="0"/>
          <w:i/>
          <w:color w:val="444444"/>
          <w:sz w:val="18"/>
        </w:rPr>
        <w:t>Controller Setpoints are used as control limits below. % In Range is calculated from the full reporting month telemetry.</w:t>
      </w:r>
    </w:p>
    <w:tbl>
      <w:tblPr>
        <w:tblStyle w:val="TableGrid"/>
        <w:tblW w:type="auto" w:w="0"/>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1814"/>
            <w:shd w:val="clear" w:color="auto" w:fill="00857C"/>
          </w:tcPr>
          <w:p>
            <w:pPr>
              <w:spacing w:before="60" w:after="60"/>
            </w:pPr>
            <w:r>
              <w:rPr>
                <w:b/>
                <w:color w:val="FFFFFF"/>
                <w:sz w:val="18"/>
              </w:rPr>
              <w:t>Parameter</w:t>
            </w:r>
          </w:p>
        </w:tc>
        <w:tc>
          <w:tcPr>
            <w:tcW w:type="dxa" w:w="1247"/>
            <w:shd w:val="clear" w:color="auto" w:fill="00857C"/>
          </w:tcPr>
          <w:p>
            <w:pPr>
              <w:spacing w:before="60" w:after="60"/>
            </w:pPr>
            <w:r>
              <w:rPr>
                <w:b/>
                <w:color w:val="FFFFFF"/>
                <w:sz w:val="18"/>
              </w:rPr>
              <w:t>Context Point</w:t>
            </w:r>
          </w:p>
        </w:tc>
        <w:tc>
          <w:tcPr>
            <w:tcW w:type="dxa" w:w="850"/>
            <w:shd w:val="clear" w:color="auto" w:fill="00857C"/>
          </w:tcPr>
          <w:p>
            <w:pPr>
              <w:spacing w:before="60" w:after="60"/>
            </w:pPr>
            <w:r>
              <w:rPr>
                <w:b/>
                <w:color w:val="FFFFFF"/>
                <w:sz w:val="18"/>
              </w:rPr>
              <w:t>Average</w:t>
            </w:r>
          </w:p>
        </w:tc>
        <w:tc>
          <w:tcPr>
            <w:tcW w:type="dxa" w:w="850"/>
            <w:shd w:val="clear" w:color="auto" w:fill="00857C"/>
          </w:tcPr>
          <w:p>
            <w:pPr>
              <w:spacing w:before="60" w:after="60"/>
            </w:pPr>
            <w:r>
              <w:rPr>
                <w:b/>
                <w:color w:val="FFFFFF"/>
                <w:sz w:val="18"/>
              </w:rPr>
              <w:t>Std Dev</w:t>
            </w:r>
          </w:p>
        </w:tc>
        <w:tc>
          <w:tcPr>
            <w:tcW w:type="dxa" w:w="794"/>
            <w:shd w:val="clear" w:color="auto" w:fill="00857C"/>
          </w:tcPr>
          <w:p>
            <w:pPr>
              <w:spacing w:before="60" w:after="60"/>
            </w:pPr>
            <w:r>
              <w:rPr>
                <w:b/>
                <w:color w:val="FFFFFF"/>
                <w:sz w:val="18"/>
              </w:rPr>
              <w:t>Min</w:t>
            </w:r>
          </w:p>
        </w:tc>
        <w:tc>
          <w:tcPr>
            <w:tcW w:type="dxa" w:w="794"/>
            <w:shd w:val="clear" w:color="auto" w:fill="00857C"/>
          </w:tcPr>
          <w:p>
            <w:pPr>
              <w:spacing w:before="60" w:after="60"/>
            </w:pPr>
            <w:r>
              <w:rPr>
                <w:b/>
                <w:color w:val="FFFFFF"/>
                <w:sz w:val="18"/>
              </w:rPr>
              <w:t>Max</w:t>
            </w:r>
          </w:p>
        </w:tc>
        <w:tc>
          <w:tcPr>
            <w:tcW w:type="dxa" w:w="964"/>
            <w:shd w:val="clear" w:color="auto" w:fill="00857C"/>
          </w:tcPr>
          <w:p>
            <w:pPr>
              <w:spacing w:before="60" w:after="60"/>
            </w:pPr>
            <w:r>
              <w:rPr>
                <w:b/>
                <w:color w:val="FFFFFF"/>
                <w:sz w:val="18"/>
              </w:rPr>
              <w:t>Lower Limit</w:t>
            </w:r>
          </w:p>
        </w:tc>
        <w:tc>
          <w:tcPr>
            <w:tcW w:type="dxa" w:w="964"/>
            <w:shd w:val="clear" w:color="auto" w:fill="00857C"/>
          </w:tcPr>
          <w:p>
            <w:pPr>
              <w:spacing w:before="60" w:after="60"/>
            </w:pPr>
            <w:r>
              <w:rPr>
                <w:b/>
                <w:color w:val="FFFFFF"/>
                <w:sz w:val="18"/>
              </w:rPr>
              <w:t>Upper Limit</w:t>
            </w:r>
          </w:p>
        </w:tc>
        <w:tc>
          <w:tcPr>
            <w:tcW w:type="dxa" w:w="1020"/>
            <w:shd w:val="clear" w:color="auto" w:fill="00857C"/>
          </w:tcPr>
          <w:p>
            <w:pPr>
              <w:spacing w:before="60" w:after="60"/>
            </w:pPr>
            <w:r>
              <w:rPr>
                <w:b/>
                <w:color w:val="FFFFFF"/>
                <w:sz w:val="18"/>
              </w:rPr>
              <w:t>% In Range</w:t>
            </w:r>
          </w:p>
        </w:tc>
        <w:tc>
          <w:tcPr>
            <w:tcW w:type="dxa" w:w="1247"/>
            <w:shd w:val="clear" w:color="auto" w:fill="00857C"/>
          </w:tcPr>
          <w:p>
            <w:pPr>
              <w:spacing w:before="60" w:after="60"/>
            </w:pPr>
            <w:r>
              <w:rPr>
                <w:b/>
                <w:color w:val="FFFFFF"/>
                <w:sz w:val="18"/>
              </w:rPr>
              <w:t>Status</w:t>
            </w:r>
          </w:p>
        </w:tc>
      </w:tr>
      <w:tr>
        <w:tc>
          <w:tcPr>
            <w:tcW w:type="dxa" w:w="1814"/>
            <w:shd w:val="clear" w:color="auto" w:fill="FFFFFF"/>
          </w:tcPr>
          <w:p>
            <w:pPr>
              <w:spacing w:before="60" w:after="60"/>
            </w:pPr>
            <w:r>
              <w:rPr>
                <w:sz w:val="18"/>
              </w:rPr>
              <w:t>Corrosion – MS (MPY)</w:t>
            </w:r>
          </w:p>
        </w:tc>
        <w:tc>
          <w:tcPr>
            <w:tcW w:type="dxa" w:w="1247"/>
            <w:shd w:val="clear" w:color="auto" w:fill="FFFFFF"/>
          </w:tcPr>
          <w:p>
            <w:pPr>
              <w:spacing w:before="60" w:after="60"/>
            </w:pPr>
            <w:r>
              <w:rPr>
                <w:sz w:val="18"/>
              </w:rPr>
              <w:t>ACM Skid</w:t>
            </w:r>
          </w:p>
        </w:tc>
        <w:tc>
          <w:tcPr>
            <w:tcW w:type="dxa" w:w="850"/>
            <w:shd w:val="clear" w:color="auto" w:fill="FFFFFF"/>
          </w:tcPr>
          <w:p>
            <w:pPr>
              <w:spacing w:before="60" w:after="60"/>
            </w:pPr>
            <w:r>
              <w:rPr>
                <w:sz w:val="18"/>
              </w:rPr>
              <w:t>0.100</w:t>
            </w:r>
          </w:p>
        </w:tc>
        <w:tc>
          <w:tcPr>
            <w:tcW w:type="dxa" w:w="850"/>
            <w:shd w:val="clear" w:color="auto" w:fill="FFFFFF"/>
          </w:tcPr>
          <w:p>
            <w:pPr>
              <w:spacing w:before="60" w:after="60"/>
            </w:pPr>
            <w:r>
              <w:rPr>
                <w:sz w:val="18"/>
              </w:rPr>
              <w:t>0.000</w:t>
            </w:r>
          </w:p>
        </w:tc>
        <w:tc>
          <w:tcPr>
            <w:tcW w:type="dxa" w:w="794"/>
            <w:shd w:val="clear" w:color="auto" w:fill="FFFFFF"/>
          </w:tcPr>
          <w:p>
            <w:pPr>
              <w:spacing w:before="60" w:after="60"/>
            </w:pPr>
            <w:r>
              <w:rPr>
                <w:sz w:val="18"/>
              </w:rPr>
              <w:t>0.100</w:t>
            </w:r>
          </w:p>
        </w:tc>
        <w:tc>
          <w:tcPr>
            <w:tcW w:type="dxa" w:w="794"/>
            <w:shd w:val="clear" w:color="auto" w:fill="FFFFFF"/>
          </w:tcPr>
          <w:p>
            <w:pPr>
              <w:spacing w:before="60" w:after="60"/>
            </w:pPr>
            <w:r>
              <w:rPr>
                <w:sz w:val="18"/>
              </w:rPr>
              <w:t>0.100</w:t>
            </w:r>
          </w:p>
        </w:tc>
        <w:tc>
          <w:tcPr>
            <w:tcW w:type="dxa" w:w="964"/>
            <w:shd w:val="clear" w:color="auto" w:fill="FFFFFF"/>
          </w:tcPr>
          <w:p>
            <w:pPr>
              <w:spacing w:before="60" w:after="60"/>
            </w:pPr>
            <w:r>
              <w:rPr>
                <w:sz w:val="18"/>
              </w:rPr>
              <w:t>0.00</w:t>
            </w:r>
          </w:p>
        </w:tc>
        <w:tc>
          <w:tcPr>
            <w:tcW w:type="dxa" w:w="964"/>
            <w:shd w:val="clear" w:color="auto" w:fill="FFFFFF"/>
          </w:tcPr>
          <w:p>
            <w:pPr>
              <w:spacing w:before="60" w:after="60"/>
            </w:pPr>
            <w:r>
              <w:rPr>
                <w:sz w:val="18"/>
              </w:rPr>
              <w:t>3.00</w:t>
            </w:r>
          </w:p>
        </w:tc>
        <w:tc>
          <w:tcPr>
            <w:tcW w:type="dxa" w:w="1020"/>
            <w:shd w:val="clear" w:color="auto" w:fill="FFFFFF"/>
          </w:tcPr>
          <w:p>
            <w:pPr>
              <w:spacing w:before="60" w:after="60"/>
            </w:pPr>
            <w:r>
              <w:rPr>
                <w:sz w:val="18"/>
              </w:rPr>
              <w:t>100.0%</w:t>
            </w:r>
          </w:p>
        </w:tc>
        <w:tc>
          <w:tcPr>
            <w:tcW w:type="dxa" w:w="1247"/>
            <w:shd w:val="clear" w:color="auto" w:fill="FFFFFF"/>
          </w:tcPr>
          <w:p>
            <w:pPr>
              <w:spacing w:before="60" w:after="60"/>
            </w:pPr>
            <w:r>
              <w:rPr>
                <w:sz w:val="18"/>
              </w:rPr>
              <w:t>✓ Excellent</w:t>
            </w:r>
          </w:p>
        </w:tc>
      </w:tr>
      <w:tr>
        <w:tc>
          <w:tcPr>
            <w:tcW w:type="dxa" w:w="1814"/>
            <w:shd w:val="clear" w:color="auto" w:fill="F2F8F7"/>
          </w:tcPr>
          <w:p>
            <w:pPr>
              <w:spacing w:before="60" w:after="60"/>
            </w:pPr>
            <w:r>
              <w:rPr>
                <w:sz w:val="18"/>
              </w:rPr>
              <w:t>Corrosion – Cu (MPY)</w:t>
            </w:r>
          </w:p>
        </w:tc>
        <w:tc>
          <w:tcPr>
            <w:tcW w:type="dxa" w:w="1247"/>
            <w:shd w:val="clear" w:color="auto" w:fill="F2F8F7"/>
          </w:tcPr>
          <w:p>
            <w:pPr>
              <w:spacing w:before="60" w:after="60"/>
            </w:pPr>
            <w:r>
              <w:rPr>
                <w:sz w:val="18"/>
              </w:rPr>
              <w:t>ACM Skid</w:t>
            </w:r>
          </w:p>
        </w:tc>
        <w:tc>
          <w:tcPr>
            <w:tcW w:type="dxa" w:w="850"/>
            <w:shd w:val="clear" w:color="auto" w:fill="F2F8F7"/>
          </w:tcPr>
          <w:p>
            <w:pPr>
              <w:spacing w:before="60" w:after="60"/>
            </w:pPr>
            <w:r>
              <w:rPr>
                <w:sz w:val="18"/>
              </w:rPr>
              <w:t>0.052</w:t>
            </w:r>
          </w:p>
        </w:tc>
        <w:tc>
          <w:tcPr>
            <w:tcW w:type="dxa" w:w="850"/>
            <w:shd w:val="clear" w:color="auto" w:fill="F2F8F7"/>
          </w:tcPr>
          <w:p>
            <w:pPr>
              <w:spacing w:before="60" w:after="60"/>
            </w:pPr>
            <w:r>
              <w:rPr>
                <w:sz w:val="18"/>
              </w:rPr>
              <w:t>0.006</w:t>
            </w:r>
          </w:p>
        </w:tc>
        <w:tc>
          <w:tcPr>
            <w:tcW w:type="dxa" w:w="794"/>
            <w:shd w:val="clear" w:color="auto" w:fill="F2F8F7"/>
          </w:tcPr>
          <w:p>
            <w:pPr>
              <w:spacing w:before="60" w:after="60"/>
            </w:pPr>
            <w:r>
              <w:rPr>
                <w:sz w:val="18"/>
              </w:rPr>
              <w:t>0.000</w:t>
            </w:r>
          </w:p>
        </w:tc>
        <w:tc>
          <w:tcPr>
            <w:tcW w:type="dxa" w:w="794"/>
            <w:shd w:val="clear" w:color="auto" w:fill="F2F8F7"/>
          </w:tcPr>
          <w:p>
            <w:pPr>
              <w:spacing w:before="60" w:after="60"/>
            </w:pPr>
            <w:r>
              <w:rPr>
                <w:sz w:val="18"/>
              </w:rPr>
              <w:t>0.118</w:t>
            </w:r>
          </w:p>
        </w:tc>
        <w:tc>
          <w:tcPr>
            <w:tcW w:type="dxa" w:w="964"/>
            <w:shd w:val="clear" w:color="auto" w:fill="F2F8F7"/>
          </w:tcPr>
          <w:p>
            <w:pPr>
              <w:spacing w:before="60" w:after="60"/>
            </w:pPr>
            <w:r>
              <w:rPr>
                <w:sz w:val="18"/>
              </w:rPr>
              <w:t>0.00</w:t>
            </w:r>
          </w:p>
        </w:tc>
        <w:tc>
          <w:tcPr>
            <w:tcW w:type="dxa" w:w="964"/>
            <w:shd w:val="clear" w:color="auto" w:fill="F2F8F7"/>
          </w:tcPr>
          <w:p>
            <w:pPr>
              <w:spacing w:before="60" w:after="60"/>
            </w:pPr>
            <w:r>
              <w:rPr>
                <w:sz w:val="18"/>
              </w:rPr>
              <w:t>0.50</w:t>
            </w:r>
          </w:p>
        </w:tc>
        <w:tc>
          <w:tcPr>
            <w:tcW w:type="dxa" w:w="1020"/>
            <w:shd w:val="clear" w:color="auto" w:fill="F2F8F7"/>
          </w:tcPr>
          <w:p>
            <w:pPr>
              <w:spacing w:before="60" w:after="60"/>
            </w:pPr>
            <w:r>
              <w:rPr>
                <w:sz w:val="18"/>
              </w:rPr>
              <w:t>100.0%</w:t>
            </w:r>
          </w:p>
        </w:tc>
        <w:tc>
          <w:tcPr>
            <w:tcW w:type="dxa" w:w="1247"/>
            <w:shd w:val="clear" w:color="auto" w:fill="F2F8F7"/>
          </w:tcPr>
          <w:p>
            <w:pPr>
              <w:spacing w:before="60" w:after="60"/>
            </w:pPr>
            <w:r>
              <w:rPr>
                <w:sz w:val="18"/>
              </w:rPr>
              <w:t>✓ Excellent</w:t>
            </w:r>
          </w:p>
        </w:tc>
      </w:tr>
      <w:tr>
        <w:tc>
          <w:tcPr>
            <w:tcW w:type="dxa" w:w="1814"/>
            <w:shd w:val="clear" w:color="auto" w:fill="FFFFFF"/>
          </w:tcPr>
          <w:p>
            <w:pPr>
              <w:spacing w:before="60" w:after="60"/>
            </w:pPr>
            <w:r>
              <w:rPr>
                <w:sz w:val="18"/>
              </w:rPr>
              <w:t>Traced Product (ppm)</w:t>
            </w:r>
          </w:p>
        </w:tc>
        <w:tc>
          <w:tcPr>
            <w:tcW w:type="dxa" w:w="1247"/>
            <w:shd w:val="clear" w:color="auto" w:fill="FFFFFF"/>
          </w:tcPr>
          <w:p>
            <w:pPr>
              <w:spacing w:before="60" w:after="60"/>
            </w:pPr>
            <w:r>
              <w:rPr>
                <w:sz w:val="18"/>
              </w:rPr>
              <w:t>ACM Skid</w:t>
            </w:r>
          </w:p>
        </w:tc>
        <w:tc>
          <w:tcPr>
            <w:tcW w:type="dxa" w:w="850"/>
            <w:shd w:val="clear" w:color="auto" w:fill="FFFFFF"/>
          </w:tcPr>
          <w:p>
            <w:pPr>
              <w:spacing w:before="60" w:after="60"/>
            </w:pPr>
            <w:r>
              <w:rPr>
                <w:sz w:val="18"/>
              </w:rPr>
              <w:t>44.529</w:t>
            </w:r>
          </w:p>
        </w:tc>
        <w:tc>
          <w:tcPr>
            <w:tcW w:type="dxa" w:w="850"/>
            <w:shd w:val="clear" w:color="auto" w:fill="FFFFFF"/>
          </w:tcPr>
          <w:p>
            <w:pPr>
              <w:spacing w:before="60" w:after="60"/>
            </w:pPr>
            <w:r>
              <w:rPr>
                <w:sz w:val="18"/>
              </w:rPr>
              <w:t>2.575</w:t>
            </w:r>
          </w:p>
        </w:tc>
        <w:tc>
          <w:tcPr>
            <w:tcW w:type="dxa" w:w="794"/>
            <w:shd w:val="clear" w:color="auto" w:fill="FFFFFF"/>
          </w:tcPr>
          <w:p>
            <w:pPr>
              <w:spacing w:before="60" w:after="60"/>
            </w:pPr>
            <w:r>
              <w:rPr>
                <w:sz w:val="18"/>
              </w:rPr>
              <w:t>39.896</w:t>
            </w:r>
          </w:p>
        </w:tc>
        <w:tc>
          <w:tcPr>
            <w:tcW w:type="dxa" w:w="794"/>
            <w:shd w:val="clear" w:color="auto" w:fill="FFFFFF"/>
          </w:tcPr>
          <w:p>
            <w:pPr>
              <w:spacing w:before="60" w:after="60"/>
            </w:pPr>
            <w:r>
              <w:rPr>
                <w:sz w:val="18"/>
              </w:rPr>
              <w:t>55.731</w:t>
            </w:r>
          </w:p>
        </w:tc>
        <w:tc>
          <w:tcPr>
            <w:tcW w:type="dxa" w:w="964"/>
            <w:shd w:val="clear" w:color="auto" w:fill="FFFFFF"/>
          </w:tcPr>
          <w:p>
            <w:pPr>
              <w:spacing w:before="60" w:after="60"/>
            </w:pPr>
            <w:r>
              <w:rPr>
                <w:sz w:val="18"/>
              </w:rPr>
              <w:t>40.9</w:t>
            </w:r>
          </w:p>
        </w:tc>
        <w:tc>
          <w:tcPr>
            <w:tcW w:type="dxa" w:w="964"/>
            <w:shd w:val="clear" w:color="auto" w:fill="FFFFFF"/>
          </w:tcPr>
          <w:p>
            <w:pPr>
              <w:spacing w:before="60" w:after="60"/>
            </w:pPr>
            <w:r>
              <w:rPr>
                <w:sz w:val="18"/>
              </w:rPr>
              <w:t>45.1</w:t>
            </w:r>
          </w:p>
        </w:tc>
        <w:tc>
          <w:tcPr>
            <w:tcW w:type="dxa" w:w="1020"/>
            <w:shd w:val="clear" w:color="auto" w:fill="FFFFFF"/>
          </w:tcPr>
          <w:p>
            <w:pPr>
              <w:spacing w:before="60" w:after="60"/>
            </w:pPr>
            <w:r>
              <w:rPr>
                <w:sz w:val="18"/>
              </w:rPr>
              <w:t>58.6%</w:t>
            </w:r>
          </w:p>
        </w:tc>
        <w:tc>
          <w:tcPr>
            <w:tcW w:type="dxa" w:w="1247"/>
            <w:shd w:val="clear" w:color="auto" w:fill="FFFFFF"/>
          </w:tcPr>
          <w:p>
            <w:pPr>
              <w:spacing w:before="60" w:after="60"/>
            </w:pPr>
            <w:r>
              <w:rPr>
                <w:sz w:val="18"/>
              </w:rPr>
              <w:t>⚠ Acceptable</w:t>
            </w:r>
          </w:p>
        </w:tc>
      </w:tr>
      <w:tr>
        <w:tc>
          <w:tcPr>
            <w:tcW w:type="dxa" w:w="1814"/>
            <w:shd w:val="clear" w:color="auto" w:fill="F2F8F7"/>
          </w:tcPr>
          <w:p>
            <w:pPr>
              <w:spacing w:before="60" w:after="60"/>
            </w:pPr>
            <w:r>
              <w:rPr>
                <w:sz w:val="18"/>
              </w:rPr>
              <w:t>Conductivity (µS/cm)</w:t>
            </w:r>
          </w:p>
        </w:tc>
        <w:tc>
          <w:tcPr>
            <w:tcW w:type="dxa" w:w="1247"/>
            <w:shd w:val="clear" w:color="auto" w:fill="F2F8F7"/>
          </w:tcPr>
          <w:p>
            <w:pPr>
              <w:spacing w:before="60" w:after="60"/>
            </w:pPr>
            <w:r>
              <w:rPr>
                <w:sz w:val="18"/>
              </w:rPr>
              <w:t>ACM Skid</w:t>
            </w:r>
          </w:p>
        </w:tc>
        <w:tc>
          <w:tcPr>
            <w:tcW w:type="dxa" w:w="850"/>
            <w:shd w:val="clear" w:color="auto" w:fill="F2F8F7"/>
          </w:tcPr>
          <w:p>
            <w:pPr>
              <w:spacing w:before="60" w:after="60"/>
            </w:pPr>
            <w:r>
              <w:rPr>
                <w:sz w:val="18"/>
              </w:rPr>
              <w:t>724.762</w:t>
            </w:r>
          </w:p>
        </w:tc>
        <w:tc>
          <w:tcPr>
            <w:tcW w:type="dxa" w:w="850"/>
            <w:shd w:val="clear" w:color="auto" w:fill="F2F8F7"/>
          </w:tcPr>
          <w:p>
            <w:pPr>
              <w:spacing w:before="60" w:after="60"/>
            </w:pPr>
            <w:r>
              <w:rPr>
                <w:sz w:val="18"/>
              </w:rPr>
              <w:t>92.493</w:t>
            </w:r>
          </w:p>
        </w:tc>
        <w:tc>
          <w:tcPr>
            <w:tcW w:type="dxa" w:w="794"/>
            <w:shd w:val="clear" w:color="auto" w:fill="F2F8F7"/>
          </w:tcPr>
          <w:p>
            <w:pPr>
              <w:spacing w:before="60" w:after="60"/>
            </w:pPr>
            <w:r>
              <w:rPr>
                <w:sz w:val="18"/>
              </w:rPr>
              <w:t>479.900</w:t>
            </w:r>
          </w:p>
        </w:tc>
        <w:tc>
          <w:tcPr>
            <w:tcW w:type="dxa" w:w="794"/>
            <w:shd w:val="clear" w:color="auto" w:fill="F2F8F7"/>
          </w:tcPr>
          <w:p>
            <w:pPr>
              <w:spacing w:before="60" w:after="60"/>
            </w:pPr>
            <w:r>
              <w:rPr>
                <w:sz w:val="18"/>
              </w:rPr>
              <w:t>3749.989</w:t>
            </w:r>
          </w:p>
        </w:tc>
        <w:tc>
          <w:tcPr>
            <w:tcW w:type="dxa" w:w="964"/>
            <w:shd w:val="clear" w:color="auto" w:fill="F2F8F7"/>
          </w:tcPr>
          <w:p>
            <w:pPr>
              <w:spacing w:before="60" w:after="60"/>
            </w:pPr>
            <w:r>
              <w:rPr>
                <w:sz w:val="18"/>
              </w:rPr>
              <w:t>570</w:t>
            </w:r>
          </w:p>
        </w:tc>
        <w:tc>
          <w:tcPr>
            <w:tcW w:type="dxa" w:w="964"/>
            <w:shd w:val="clear" w:color="auto" w:fill="F2F8F7"/>
          </w:tcPr>
          <w:p>
            <w:pPr>
              <w:spacing w:before="60" w:after="60"/>
            </w:pPr>
            <w:r>
              <w:rPr>
                <w:sz w:val="18"/>
              </w:rPr>
              <w:t>630</w:t>
            </w:r>
          </w:p>
        </w:tc>
        <w:tc>
          <w:tcPr>
            <w:tcW w:type="dxa" w:w="1020"/>
            <w:shd w:val="clear" w:color="auto" w:fill="F2F8F7"/>
          </w:tcPr>
          <w:p>
            <w:pPr>
              <w:spacing w:before="60" w:after="60"/>
            </w:pPr>
            <w:r>
              <w:rPr>
                <w:sz w:val="18"/>
              </w:rPr>
              <w:t>7.6%</w:t>
            </w:r>
          </w:p>
        </w:tc>
        <w:tc>
          <w:tcPr>
            <w:tcW w:type="dxa" w:w="1247"/>
            <w:shd w:val="clear" w:color="auto" w:fill="F2F8F7"/>
          </w:tcPr>
          <w:p>
            <w:pPr>
              <w:spacing w:before="60" w:after="60"/>
            </w:pPr>
            <w:r>
              <w:rPr>
                <w:sz w:val="18"/>
              </w:rPr>
              <w:t>✗ Critical</w:t>
            </w:r>
          </w:p>
        </w:tc>
      </w:tr>
      <w:tr>
        <w:tc>
          <w:tcPr>
            <w:tcW w:type="dxa" w:w="1814"/>
            <w:shd w:val="clear" w:color="auto" w:fill="FFFFFF"/>
          </w:tcPr>
          <w:p>
            <w:pPr>
              <w:spacing w:before="60" w:after="60"/>
            </w:pPr>
            <w:r>
              <w:rPr>
                <w:sz w:val="18"/>
              </w:rPr>
              <w:t>pH</w:t>
            </w:r>
          </w:p>
        </w:tc>
        <w:tc>
          <w:tcPr>
            <w:tcW w:type="dxa" w:w="1247"/>
            <w:shd w:val="clear" w:color="auto" w:fill="FFFFFF"/>
          </w:tcPr>
          <w:p>
            <w:pPr>
              <w:spacing w:before="60" w:after="60"/>
            </w:pPr>
            <w:r>
              <w:rPr>
                <w:sz w:val="18"/>
              </w:rPr>
              <w:t>ACM Skid</w:t>
            </w:r>
          </w:p>
        </w:tc>
        <w:tc>
          <w:tcPr>
            <w:tcW w:type="dxa" w:w="850"/>
            <w:shd w:val="clear" w:color="auto" w:fill="FFFFFF"/>
          </w:tcPr>
          <w:p>
            <w:pPr>
              <w:spacing w:before="60" w:after="60"/>
            </w:pPr>
            <w:r>
              <w:rPr>
                <w:sz w:val="18"/>
              </w:rPr>
              <w:t>8.896</w:t>
            </w:r>
          </w:p>
        </w:tc>
        <w:tc>
          <w:tcPr>
            <w:tcW w:type="dxa" w:w="850"/>
            <w:shd w:val="clear" w:color="auto" w:fill="FFFFFF"/>
          </w:tcPr>
          <w:p>
            <w:pPr>
              <w:spacing w:before="60" w:after="60"/>
            </w:pPr>
            <w:r>
              <w:rPr>
                <w:sz w:val="18"/>
              </w:rPr>
              <w:t>0.094</w:t>
            </w:r>
          </w:p>
        </w:tc>
        <w:tc>
          <w:tcPr>
            <w:tcW w:type="dxa" w:w="794"/>
            <w:shd w:val="clear" w:color="auto" w:fill="FFFFFF"/>
          </w:tcPr>
          <w:p>
            <w:pPr>
              <w:spacing w:before="60" w:after="60"/>
            </w:pPr>
            <w:r>
              <w:rPr>
                <w:sz w:val="18"/>
              </w:rPr>
              <w:t>8.731</w:t>
            </w:r>
          </w:p>
        </w:tc>
        <w:tc>
          <w:tcPr>
            <w:tcW w:type="dxa" w:w="794"/>
            <w:shd w:val="clear" w:color="auto" w:fill="FFFFFF"/>
          </w:tcPr>
          <w:p>
            <w:pPr>
              <w:spacing w:before="60" w:after="60"/>
            </w:pPr>
            <w:r>
              <w:rPr>
                <w:sz w:val="18"/>
              </w:rPr>
              <w:t>9.164</w:t>
            </w:r>
          </w:p>
        </w:tc>
        <w:tc>
          <w:tcPr>
            <w:tcW w:type="dxa" w:w="964"/>
            <w:shd w:val="clear" w:color="auto" w:fill="FFFFFF"/>
          </w:tcPr>
          <w:p>
            <w:pPr>
              <w:spacing w:before="60" w:after="60"/>
            </w:pPr>
            <w:r>
              <w:rPr>
                <w:sz w:val="18"/>
              </w:rPr>
              <w:t>7.50</w:t>
            </w:r>
          </w:p>
        </w:tc>
        <w:tc>
          <w:tcPr>
            <w:tcW w:type="dxa" w:w="964"/>
            <w:shd w:val="clear" w:color="auto" w:fill="FFFFFF"/>
          </w:tcPr>
          <w:p>
            <w:pPr>
              <w:spacing w:before="60" w:after="60"/>
            </w:pPr>
            <w:r>
              <w:rPr>
                <w:sz w:val="18"/>
              </w:rPr>
              <w:t>10.00</w:t>
            </w:r>
          </w:p>
        </w:tc>
        <w:tc>
          <w:tcPr>
            <w:tcW w:type="dxa" w:w="1020"/>
            <w:shd w:val="clear" w:color="auto" w:fill="FFFFFF"/>
          </w:tcPr>
          <w:p>
            <w:pPr>
              <w:spacing w:before="60" w:after="60"/>
            </w:pPr>
            <w:r>
              <w:rPr>
                <w:sz w:val="18"/>
              </w:rPr>
              <w:t>100.0%</w:t>
            </w:r>
          </w:p>
        </w:tc>
        <w:tc>
          <w:tcPr>
            <w:tcW w:type="dxa" w:w="1247"/>
            <w:shd w:val="clear" w:color="auto" w:fill="FFFFFF"/>
          </w:tcPr>
          <w:p>
            <w:pPr>
              <w:spacing w:before="60" w:after="60"/>
            </w:pPr>
            <w:r>
              <w:rPr>
                <w:sz w:val="18"/>
              </w:rPr>
              <w:t>ℹ Info</w:t>
            </w:r>
          </w:p>
        </w:tc>
      </w:tr>
      <w:tr>
        <w:tc>
          <w:tcPr>
            <w:tcW w:type="dxa" w:w="1814"/>
            <w:shd w:val="clear" w:color="auto" w:fill="F2F8F7"/>
          </w:tcPr>
          <w:p>
            <w:pPr>
              <w:spacing w:before="60" w:after="60"/>
            </w:pPr>
            <w:r>
              <w:rPr>
                <w:sz w:val="18"/>
              </w:rPr>
              <w:t>ORP (mV)</w:t>
            </w:r>
          </w:p>
        </w:tc>
        <w:tc>
          <w:tcPr>
            <w:tcW w:type="dxa" w:w="1247"/>
            <w:shd w:val="clear" w:color="auto" w:fill="F2F8F7"/>
          </w:tcPr>
          <w:p>
            <w:pPr>
              <w:spacing w:before="60" w:after="60"/>
            </w:pPr>
            <w:r>
              <w:rPr>
                <w:sz w:val="18"/>
              </w:rPr>
              <w:t>ACM Skid</w:t>
            </w:r>
          </w:p>
        </w:tc>
        <w:tc>
          <w:tcPr>
            <w:tcW w:type="dxa" w:w="850"/>
            <w:shd w:val="clear" w:color="auto" w:fill="F2F8F7"/>
          </w:tcPr>
          <w:p>
            <w:pPr>
              <w:spacing w:before="60" w:after="60"/>
            </w:pPr>
            <w:r>
              <w:rPr>
                <w:sz w:val="18"/>
              </w:rPr>
              <w:t>153.848</w:t>
            </w:r>
          </w:p>
        </w:tc>
        <w:tc>
          <w:tcPr>
            <w:tcW w:type="dxa" w:w="850"/>
            <w:shd w:val="clear" w:color="auto" w:fill="F2F8F7"/>
          </w:tcPr>
          <w:p>
            <w:pPr>
              <w:spacing w:before="60" w:after="60"/>
            </w:pPr>
            <w:r>
              <w:rPr>
                <w:sz w:val="18"/>
              </w:rPr>
              <w:t>73.168</w:t>
            </w:r>
          </w:p>
        </w:tc>
        <w:tc>
          <w:tcPr>
            <w:tcW w:type="dxa" w:w="794"/>
            <w:shd w:val="clear" w:color="auto" w:fill="F2F8F7"/>
          </w:tcPr>
          <w:p>
            <w:pPr>
              <w:spacing w:before="60" w:after="60"/>
            </w:pPr>
            <w:r>
              <w:rPr>
                <w:sz w:val="18"/>
              </w:rPr>
              <w:t>34.464</w:t>
            </w:r>
          </w:p>
        </w:tc>
        <w:tc>
          <w:tcPr>
            <w:tcW w:type="dxa" w:w="794"/>
            <w:shd w:val="clear" w:color="auto" w:fill="F2F8F7"/>
          </w:tcPr>
          <w:p>
            <w:pPr>
              <w:spacing w:before="60" w:after="60"/>
            </w:pPr>
            <w:r>
              <w:rPr>
                <w:sz w:val="18"/>
              </w:rPr>
              <w:t>367.037</w:t>
            </w:r>
          </w:p>
        </w:tc>
        <w:tc>
          <w:tcPr>
            <w:tcW w:type="dxa" w:w="964"/>
            <w:shd w:val="clear" w:color="auto" w:fill="F2F8F7"/>
          </w:tcPr>
          <w:p>
            <w:pPr>
              <w:spacing w:before="60" w:after="60"/>
            </w:pPr>
            <w:r>
              <w:rPr>
                <w:sz w:val="18"/>
              </w:rPr>
              <w:t>–</w:t>
            </w:r>
          </w:p>
        </w:tc>
        <w:tc>
          <w:tcPr>
            <w:tcW w:type="dxa" w:w="964"/>
            <w:shd w:val="clear" w:color="auto" w:fill="F2F8F7"/>
          </w:tcPr>
          <w:p>
            <w:pPr>
              <w:spacing w:before="60" w:after="60"/>
            </w:pPr>
            <w:r>
              <w:rPr>
                <w:sz w:val="18"/>
              </w:rPr>
              <w:t>–</w:t>
            </w:r>
          </w:p>
        </w:tc>
        <w:tc>
          <w:tcPr>
            <w:tcW w:type="dxa" w:w="1020"/>
            <w:shd w:val="clear" w:color="auto" w:fill="F2F8F7"/>
          </w:tcPr>
          <w:p>
            <w:pPr>
              <w:spacing w:before="60" w:after="60"/>
            </w:pPr>
            <w:r>
              <w:rPr>
                <w:sz w:val="18"/>
              </w:rPr>
              <w:t>–</w:t>
            </w:r>
          </w:p>
        </w:tc>
        <w:tc>
          <w:tcPr>
            <w:tcW w:type="dxa" w:w="1247"/>
            <w:shd w:val="clear" w:color="auto" w:fill="F2F8F7"/>
          </w:tcPr>
          <w:p>
            <w:pPr>
              <w:spacing w:before="60" w:after="60"/>
            </w:pPr>
            <w:r>
              <w:rPr>
                <w:sz w:val="18"/>
              </w:rPr>
              <w:t>See chart</w:t>
            </w:r>
          </w:p>
        </w:tc>
      </w:tr>
      <w:tr>
        <w:tc>
          <w:tcPr>
            <w:tcW w:type="dxa" w:w="1814"/>
            <w:shd w:val="clear" w:color="auto" w:fill="FFFFFF"/>
          </w:tcPr>
          <w:p>
            <w:pPr>
              <w:spacing w:before="60" w:after="60"/>
            </w:pPr>
            <w:r>
              <w:rPr>
                <w:sz w:val="18"/>
              </w:rPr>
              <w:t>Turbidity (NTU)</w:t>
            </w:r>
          </w:p>
        </w:tc>
        <w:tc>
          <w:tcPr>
            <w:tcW w:type="dxa" w:w="1247"/>
            <w:shd w:val="clear" w:color="auto" w:fill="FFFFFF"/>
          </w:tcPr>
          <w:p>
            <w:pPr>
              <w:spacing w:before="60" w:after="60"/>
            </w:pPr>
            <w:r>
              <w:rPr>
                <w:sz w:val="18"/>
              </w:rPr>
              <w:t>ACM Skid</w:t>
            </w:r>
          </w:p>
        </w:tc>
        <w:tc>
          <w:tcPr>
            <w:tcW w:type="dxa" w:w="850"/>
            <w:shd w:val="clear" w:color="auto" w:fill="FFFFFF"/>
          </w:tcPr>
          <w:p>
            <w:pPr>
              <w:spacing w:before="60" w:after="60"/>
            </w:pPr>
            <w:r>
              <w:rPr>
                <w:sz w:val="18"/>
              </w:rPr>
              <w:t>0.000</w:t>
            </w:r>
          </w:p>
        </w:tc>
        <w:tc>
          <w:tcPr>
            <w:tcW w:type="dxa" w:w="850"/>
            <w:shd w:val="clear" w:color="auto" w:fill="FFFFFF"/>
          </w:tcPr>
          <w:p>
            <w:pPr>
              <w:spacing w:before="60" w:after="60"/>
            </w:pPr>
            <w:r>
              <w:rPr>
                <w:sz w:val="18"/>
              </w:rPr>
              <w:t>0.000</w:t>
            </w:r>
          </w:p>
        </w:tc>
        <w:tc>
          <w:tcPr>
            <w:tcW w:type="dxa" w:w="794"/>
            <w:shd w:val="clear" w:color="auto" w:fill="FFFFFF"/>
          </w:tcPr>
          <w:p>
            <w:pPr>
              <w:spacing w:before="60" w:after="60"/>
            </w:pPr>
            <w:r>
              <w:rPr>
                <w:sz w:val="18"/>
              </w:rPr>
              <w:t>0.000</w:t>
            </w:r>
          </w:p>
        </w:tc>
        <w:tc>
          <w:tcPr>
            <w:tcW w:type="dxa" w:w="794"/>
            <w:shd w:val="clear" w:color="auto" w:fill="FFFFFF"/>
          </w:tcPr>
          <w:p>
            <w:pPr>
              <w:spacing w:before="60" w:after="60"/>
            </w:pPr>
            <w:r>
              <w:rPr>
                <w:sz w:val="18"/>
              </w:rPr>
              <w:t>0.000</w:t>
            </w:r>
          </w:p>
        </w:tc>
        <w:tc>
          <w:tcPr>
            <w:tcW w:type="dxa" w:w="964"/>
            <w:shd w:val="clear" w:color="auto" w:fill="FFFFFF"/>
          </w:tcPr>
          <w:p>
            <w:pPr>
              <w:spacing w:before="60" w:after="60"/>
            </w:pPr>
            <w:r>
              <w:rPr>
                <w:sz w:val="18"/>
              </w:rPr>
              <w:t>–</w:t>
            </w:r>
          </w:p>
        </w:tc>
        <w:tc>
          <w:tcPr>
            <w:tcW w:type="dxa" w:w="964"/>
            <w:shd w:val="clear" w:color="auto" w:fill="FFFFFF"/>
          </w:tcPr>
          <w:p>
            <w:pPr>
              <w:spacing w:before="60" w:after="60"/>
            </w:pPr>
            <w:r>
              <w:rPr>
                <w:sz w:val="18"/>
              </w:rPr>
              <w:t>75.0</w:t>
            </w:r>
          </w:p>
        </w:tc>
        <w:tc>
          <w:tcPr>
            <w:tcW w:type="dxa" w:w="1020"/>
            <w:shd w:val="clear" w:color="auto" w:fill="FFFFFF"/>
          </w:tcPr>
          <w:p>
            <w:pPr>
              <w:spacing w:before="60" w:after="60"/>
            </w:pPr>
            <w:r>
              <w:rPr>
                <w:sz w:val="18"/>
              </w:rPr>
              <w:t>–</w:t>
            </w:r>
          </w:p>
        </w:tc>
        <w:tc>
          <w:tcPr>
            <w:tcW w:type="dxa" w:w="1247"/>
            <w:shd w:val="clear" w:color="auto" w:fill="FFFFFF"/>
          </w:tcPr>
          <w:p>
            <w:pPr>
              <w:spacing w:before="60" w:after="60"/>
            </w:pPr>
            <w:r>
              <w:rPr>
                <w:sz w:val="18"/>
              </w:rPr>
              <w:t>ℹ Info</w:t>
            </w:r>
          </w:p>
        </w:tc>
      </w:tr>
      <w:tr>
        <w:tc>
          <w:tcPr>
            <w:tcW w:type="dxa" w:w="1814"/>
            <w:shd w:val="clear" w:color="auto" w:fill="F2F8F7"/>
          </w:tcPr>
          <w:p>
            <w:pPr>
              <w:spacing w:before="60" w:after="60"/>
            </w:pPr>
            <w:r>
              <w:rPr>
                <w:sz w:val="18"/>
              </w:rPr>
              <w:t>Cell Fouling (%)</w:t>
            </w:r>
          </w:p>
        </w:tc>
        <w:tc>
          <w:tcPr>
            <w:tcW w:type="dxa" w:w="1247"/>
            <w:shd w:val="clear" w:color="auto" w:fill="F2F8F7"/>
          </w:tcPr>
          <w:p>
            <w:pPr>
              <w:spacing w:before="60" w:after="60"/>
            </w:pPr>
            <w:r>
              <w:rPr>
                <w:sz w:val="18"/>
              </w:rPr>
              <w:t>ACM Skid</w:t>
            </w:r>
          </w:p>
        </w:tc>
        <w:tc>
          <w:tcPr>
            <w:tcW w:type="dxa" w:w="850"/>
            <w:shd w:val="clear" w:color="auto" w:fill="F2F8F7"/>
          </w:tcPr>
          <w:p>
            <w:pPr>
              <w:spacing w:before="60" w:after="60"/>
            </w:pPr>
            <w:r>
              <w:rPr>
                <w:sz w:val="18"/>
              </w:rPr>
              <w:t>4.848</w:t>
            </w:r>
          </w:p>
        </w:tc>
        <w:tc>
          <w:tcPr>
            <w:tcW w:type="dxa" w:w="850"/>
            <w:shd w:val="clear" w:color="auto" w:fill="F2F8F7"/>
          </w:tcPr>
          <w:p>
            <w:pPr>
              <w:spacing w:before="60" w:after="60"/>
            </w:pPr>
            <w:r>
              <w:rPr>
                <w:sz w:val="18"/>
              </w:rPr>
              <w:t>0.727</w:t>
            </w:r>
          </w:p>
        </w:tc>
        <w:tc>
          <w:tcPr>
            <w:tcW w:type="dxa" w:w="794"/>
            <w:shd w:val="clear" w:color="auto" w:fill="F2F8F7"/>
          </w:tcPr>
          <w:p>
            <w:pPr>
              <w:spacing w:before="60" w:after="60"/>
            </w:pPr>
            <w:r>
              <w:rPr>
                <w:sz w:val="18"/>
              </w:rPr>
              <w:t>2.913</w:t>
            </w:r>
          </w:p>
        </w:tc>
        <w:tc>
          <w:tcPr>
            <w:tcW w:type="dxa" w:w="794"/>
            <w:shd w:val="clear" w:color="auto" w:fill="F2F8F7"/>
          </w:tcPr>
          <w:p>
            <w:pPr>
              <w:spacing w:before="60" w:after="60"/>
            </w:pPr>
            <w:r>
              <w:rPr>
                <w:sz w:val="18"/>
              </w:rPr>
              <w:t>8.809</w:t>
            </w:r>
          </w:p>
        </w:tc>
        <w:tc>
          <w:tcPr>
            <w:tcW w:type="dxa" w:w="964"/>
            <w:shd w:val="clear" w:color="auto" w:fill="F2F8F7"/>
          </w:tcPr>
          <w:p>
            <w:pPr>
              <w:spacing w:before="60" w:after="60"/>
            </w:pPr>
            <w:r>
              <w:rPr>
                <w:sz w:val="18"/>
              </w:rPr>
              <w:t>–</w:t>
            </w:r>
          </w:p>
        </w:tc>
        <w:tc>
          <w:tcPr>
            <w:tcW w:type="dxa" w:w="964"/>
            <w:shd w:val="clear" w:color="auto" w:fill="F2F8F7"/>
          </w:tcPr>
          <w:p>
            <w:pPr>
              <w:spacing w:before="60" w:after="60"/>
            </w:pPr>
            <w:r>
              <w:rPr>
                <w:sz w:val="18"/>
              </w:rPr>
              <w:t>30.0</w:t>
            </w:r>
          </w:p>
        </w:tc>
        <w:tc>
          <w:tcPr>
            <w:tcW w:type="dxa" w:w="1020"/>
            <w:shd w:val="clear" w:color="auto" w:fill="F2F8F7"/>
          </w:tcPr>
          <w:p>
            <w:pPr>
              <w:spacing w:before="60" w:after="60"/>
            </w:pPr>
            <w:r>
              <w:rPr>
                <w:sz w:val="18"/>
              </w:rPr>
              <w:t>–</w:t>
            </w:r>
          </w:p>
        </w:tc>
        <w:tc>
          <w:tcPr>
            <w:tcW w:type="dxa" w:w="1247"/>
            <w:shd w:val="clear" w:color="auto" w:fill="F2F8F7"/>
          </w:tcPr>
          <w:p>
            <w:pPr>
              <w:spacing w:before="60" w:after="60"/>
            </w:pPr>
            <w:r>
              <w:rPr>
                <w:sz w:val="18"/>
              </w:rPr>
              <w:t>ℹ Info</w:t>
            </w:r>
          </w:p>
        </w:tc>
      </w:tr>
      <w:tr>
        <w:tc>
          <w:tcPr>
            <w:tcW w:type="dxa" w:w="1814"/>
            <w:shd w:val="clear" w:color="auto" w:fill="FFFFFF"/>
          </w:tcPr>
          <w:p>
            <w:pPr>
              <w:spacing w:before="60" w:after="60"/>
            </w:pPr>
            <w:r>
              <w:rPr>
                <w:sz w:val="18"/>
              </w:rPr>
              <w:t>FRC</w:t>
            </w:r>
          </w:p>
        </w:tc>
        <w:tc>
          <w:tcPr>
            <w:tcW w:type="dxa" w:w="1247"/>
            <w:shd w:val="clear" w:color="auto" w:fill="FFFFFF"/>
          </w:tcPr>
          <w:p>
            <w:pPr>
              <w:spacing w:before="60" w:after="60"/>
            </w:pPr>
            <w:r>
              <w:rPr>
                <w:sz w:val="18"/>
              </w:rPr>
              <w:t>Field Data</w:t>
            </w:r>
          </w:p>
        </w:tc>
        <w:tc>
          <w:tcPr>
            <w:tcW w:type="dxa" w:w="850"/>
            <w:shd w:val="clear" w:color="auto" w:fill="FFFFFF"/>
          </w:tcPr>
          <w:p>
            <w:pPr>
              <w:spacing w:before="60" w:after="60"/>
            </w:pPr>
            <w:r>
              <w:rPr>
                <w:sz w:val="18"/>
              </w:rPr>
              <w:t>Not avail.</w:t>
            </w:r>
          </w:p>
        </w:tc>
        <w:tc>
          <w:tcPr>
            <w:tcW w:type="dxa" w:w="850"/>
            <w:shd w:val="clear" w:color="auto" w:fill="FFFFFF"/>
          </w:tcPr>
          <w:p>
            <w:pPr>
              <w:spacing w:before="60" w:after="60"/>
            </w:pPr>
            <w:r>
              <w:rPr>
                <w:sz w:val="18"/>
              </w:rPr>
              <w:t>–</w:t>
            </w:r>
          </w:p>
        </w:tc>
        <w:tc>
          <w:tcPr>
            <w:tcW w:type="dxa" w:w="794"/>
            <w:shd w:val="clear" w:color="auto" w:fill="FFFFFF"/>
          </w:tcPr>
          <w:p>
            <w:pPr>
              <w:spacing w:before="60" w:after="60"/>
            </w:pPr>
            <w:r>
              <w:rPr>
                <w:sz w:val="18"/>
              </w:rPr>
              <w:t>–</w:t>
            </w:r>
          </w:p>
        </w:tc>
        <w:tc>
          <w:tcPr>
            <w:tcW w:type="dxa" w:w="794"/>
            <w:shd w:val="clear" w:color="auto" w:fill="FFFFFF"/>
          </w:tcPr>
          <w:p>
            <w:pPr>
              <w:spacing w:before="60" w:after="60"/>
            </w:pPr>
            <w:r>
              <w:rPr>
                <w:sz w:val="18"/>
              </w:rPr>
              <w:t>–</w:t>
            </w:r>
          </w:p>
        </w:tc>
        <w:tc>
          <w:tcPr>
            <w:tcW w:type="dxa" w:w="964"/>
            <w:shd w:val="clear" w:color="auto" w:fill="FFFFFF"/>
          </w:tcPr>
          <w:p>
            <w:pPr>
              <w:spacing w:before="60" w:after="60"/>
            </w:pPr>
            <w:r>
              <w:rPr>
                <w:sz w:val="18"/>
              </w:rPr>
              <w:t>–</w:t>
            </w:r>
          </w:p>
        </w:tc>
        <w:tc>
          <w:tcPr>
            <w:tcW w:type="dxa" w:w="964"/>
            <w:shd w:val="clear" w:color="auto" w:fill="FFFFFF"/>
          </w:tcPr>
          <w:p>
            <w:pPr>
              <w:spacing w:before="60" w:after="60"/>
            </w:pPr>
            <w:r>
              <w:rPr>
                <w:sz w:val="18"/>
              </w:rPr>
              <w:t>–</w:t>
            </w:r>
          </w:p>
        </w:tc>
        <w:tc>
          <w:tcPr>
            <w:tcW w:type="dxa" w:w="1020"/>
            <w:shd w:val="clear" w:color="auto" w:fill="FFFFFF"/>
          </w:tcPr>
          <w:p>
            <w:pPr>
              <w:spacing w:before="60" w:after="60"/>
            </w:pPr>
            <w:r>
              <w:rPr>
                <w:sz w:val="18"/>
              </w:rPr>
              <w:t>–</w:t>
            </w:r>
          </w:p>
        </w:tc>
        <w:tc>
          <w:tcPr>
            <w:tcW w:type="dxa" w:w="1247"/>
            <w:shd w:val="clear" w:color="auto" w:fill="FFFFFF"/>
          </w:tcPr>
          <w:p>
            <w:pPr>
              <w:spacing w:before="60" w:after="60"/>
            </w:pPr>
            <w:r>
              <w:rPr>
                <w:sz w:val="18"/>
              </w:rPr>
              <w:t>⚠ Check</w:t>
            </w:r>
          </w:p>
        </w:tc>
      </w:tr>
    </w:tbl>
    <w:p/>
    <w:p>
      <w:r>
        <w:br w:type="page"/>
      </w:r>
    </w:p>
    <w:p>
      <w:pPr>
        <w:pBdr>
          <w:bottom w:val="single" w:sz="8" w:space="4" w:color="00857C"/>
        </w:pBdr>
        <w:spacing w:before="280" w:after="80"/>
      </w:pPr>
      <w:r>
        <w:rPr>
          <w:b/>
          <w:color w:val="00857C"/>
          <w:sz w:val="32"/>
        </w:rPr>
        <w:t>Charts and Comments</w:t>
      </w:r>
    </w:p>
    <w:p>
      <w:pPr>
        <w:spacing w:before="200" w:after="60"/>
      </w:pPr>
      <w:r>
        <w:rPr>
          <w:b/>
          <w:color w:val="005F58"/>
          <w:sz w:val="26"/>
        </w:rPr>
        <w:t>Corrosion Rate</w:t>
      </w:r>
    </w:p>
    <w:p>
      <w:pPr>
        <w:jc w:val="center"/>
      </w:pPr>
      <w:r>
        <w:drawing>
          <wp:inline xmlns:a="http://schemas.openxmlformats.org/drawingml/2006/main" xmlns:pic="http://schemas.openxmlformats.org/drawingml/2006/picture">
            <wp:extent cx="5486400" cy="2582656"/>
            <wp:docPr id="1" name="Picture 1"/>
            <wp:cNvGraphicFramePr>
              <a:graphicFrameLocks noChangeAspect="1"/>
            </wp:cNvGraphicFramePr>
            <a:graphic>
              <a:graphicData uri="http://schemas.openxmlformats.org/drawingml/2006/picture">
                <pic:pic>
                  <pic:nvPicPr>
                    <pic:cNvPr id="0" name="st_joseph_s_hospital_savannah_ga_us_may_2026_corrosion.png"/>
                    <pic:cNvPicPr/>
                  </pic:nvPicPr>
                  <pic:blipFill>
                    <a:blip r:embed="rId11"/>
                    <a:stretch>
                      <a:fillRect/>
                    </a:stretch>
                  </pic:blipFill>
                  <pic:spPr>
                    <a:xfrm>
                      <a:off x="0" y="0"/>
                      <a:ext cx="5486400" cy="2582656"/>
                    </a:xfrm>
                    <a:prstGeom prst="rect"/>
                  </pic:spPr>
                </pic:pic>
              </a:graphicData>
            </a:graphic>
          </wp:inline>
        </w:drawing>
      </w:r>
    </w:p>
    <w:p>
      <w:pPr>
        <w:spacing w:after="120"/>
        <w:jc w:val="center"/>
      </w:pPr>
      <w:r>
        <w:rPr>
          <w:i/>
          <w:color w:val="444444"/>
          <w:sz w:val="17"/>
        </w:rPr>
        <w:t>Figure 1: Corrosion Rate — May 2026</w:t>
      </w:r>
    </w:p>
    <w:p>
      <w:pPr>
        <w:spacing w:before="40" w:after="200"/>
      </w:pPr>
      <w:r>
        <w:rPr>
          <w:b/>
          <w:i/>
          <w:color w:val="333333"/>
          <w:sz w:val="19"/>
        </w:rPr>
        <w:t xml:space="preserve">Comment: </w:t>
      </w:r>
      <w:r>
        <w:rPr>
          <w:i/>
          <w:color w:val="333333"/>
          <w:sz w:val="19"/>
        </w:rPr>
        <w:t>Pattern: corrosion control is decreasing, but remains good against the target.</w:t>
      </w:r>
      <w:r>
        <w:br/>
      </w:r>
      <w:r>
        <w:rPr>
          <w:i/>
          <w:color w:val="333333"/>
          <w:sz w:val="19"/>
        </w:rPr>
        <w:t>Mild steel corrosion remained broadly stable across the month, while copper corrosion decreased across the month.</w:t>
      </w:r>
      <w:r>
        <w:br/>
      </w:r>
      <w:r>
        <w:rPr>
          <w:i/>
          <w:color w:val="333333"/>
          <w:sz w:val="19"/>
        </w:rPr>
        <w:t>MS was within the 3.0 MPY target, and Cu was within the 0.5 MPY target.</w:t>
      </w:r>
      <w:r>
        <w:br/>
      </w:r>
      <w:r>
        <w:rPr>
          <w:i/>
          <w:color w:val="333333"/>
          <w:sz w:val="19"/>
        </w:rPr>
        <w:t>Likely reason: inhibitor residual and operating chemistry are keeping corrosion protected.</w:t>
      </w:r>
    </w:p>
    <w:p>
      <w:pPr>
        <w:spacing w:before="200" w:after="60"/>
      </w:pPr>
      <w:r>
        <w:rPr>
          <w:b/>
          <w:color w:val="005F58"/>
          <w:sz w:val="26"/>
        </w:rPr>
        <w:t>Traced Product Control Trend</w:t>
      </w:r>
    </w:p>
    <w:p>
      <w:pPr>
        <w:jc w:val="center"/>
      </w:pPr>
      <w:r>
        <w:drawing>
          <wp:inline xmlns:a="http://schemas.openxmlformats.org/drawingml/2006/main" xmlns:pic="http://schemas.openxmlformats.org/drawingml/2006/picture">
            <wp:extent cx="5486400" cy="2582656"/>
            <wp:docPr id="2" name="Picture 2"/>
            <wp:cNvGraphicFramePr>
              <a:graphicFrameLocks noChangeAspect="1"/>
            </wp:cNvGraphicFramePr>
            <a:graphic>
              <a:graphicData uri="http://schemas.openxmlformats.org/drawingml/2006/picture">
                <pic:pic>
                  <pic:nvPicPr>
                    <pic:cNvPr id="0" name="st_joseph_s_hospital_savannah_ga_us_may_2026_traced_product.png"/>
                    <pic:cNvPicPr/>
                  </pic:nvPicPr>
                  <pic:blipFill>
                    <a:blip r:embed="rId12"/>
                    <a:stretch>
                      <a:fillRect/>
                    </a:stretch>
                  </pic:blipFill>
                  <pic:spPr>
                    <a:xfrm>
                      <a:off x="0" y="0"/>
                      <a:ext cx="5486400" cy="2582656"/>
                    </a:xfrm>
                    <a:prstGeom prst="rect"/>
                  </pic:spPr>
                </pic:pic>
              </a:graphicData>
            </a:graphic>
          </wp:inline>
        </w:drawing>
      </w:r>
    </w:p>
    <w:p>
      <w:pPr>
        <w:spacing w:after="120"/>
        <w:jc w:val="center"/>
      </w:pPr>
      <w:r>
        <w:rPr>
          <w:i/>
          <w:color w:val="444444"/>
          <w:sz w:val="17"/>
        </w:rPr>
        <w:t>Figure 2: Traced Product — May 2026</w:t>
      </w:r>
    </w:p>
    <w:p>
      <w:pPr>
        <w:spacing w:before="40" w:after="200"/>
      </w:pPr>
      <w:r>
        <w:rPr>
          <w:b/>
          <w:i/>
          <w:color w:val="333333"/>
          <w:sz w:val="19"/>
        </w:rPr>
        <w:t xml:space="preserve">Comment: </w:t>
      </w:r>
      <w:r>
        <w:rPr>
          <w:i/>
          <w:color w:val="333333"/>
          <w:sz w:val="19"/>
        </w:rPr>
        <w:t>Pattern: Traced Product is decreasing, but remains good against the target.</w:t>
      </w:r>
      <w:r>
        <w:br/>
      </w:r>
      <w:r>
        <w:rPr>
          <w:i/>
          <w:color w:val="333333"/>
          <w:sz w:val="19"/>
        </w:rPr>
        <w:t>The trend moved from about 45.0 ppm at the start to 44.1 ppm at the end.</w:t>
      </w:r>
      <w:r>
        <w:br/>
      </w:r>
      <w:r>
        <w:rPr>
          <w:i/>
          <w:color w:val="333333"/>
          <w:sz w:val="19"/>
        </w:rPr>
        <w:t>The Traced Product average was within the configured range. The monthly in-range performance was 58.6%.</w:t>
      </w:r>
      <w:r>
        <w:br/>
      </w:r>
      <w:r>
        <w:rPr>
          <w:i/>
          <w:color w:val="333333"/>
          <w:sz w:val="19"/>
        </w:rPr>
        <w:t>Likely reason: feed control, conductivity control, and field residuals should be reviewed together.</w:t>
      </w:r>
    </w:p>
    <w:p>
      <w:pPr>
        <w:spacing w:before="200" w:after="60"/>
      </w:pPr>
      <w:r>
        <w:rPr>
          <w:b/>
          <w:color w:val="005F58"/>
          <w:sz w:val="26"/>
        </w:rPr>
        <w:t>ORP vs Copper Corrosion Rate</w:t>
      </w:r>
    </w:p>
    <w:p>
      <w:pPr>
        <w:jc w:val="center"/>
      </w:pPr>
      <w:r>
        <w:drawing>
          <wp:inline xmlns:a="http://schemas.openxmlformats.org/drawingml/2006/main" xmlns:pic="http://schemas.openxmlformats.org/drawingml/2006/picture">
            <wp:extent cx="5486400" cy="2584849"/>
            <wp:docPr id="3" name="Picture 3"/>
            <wp:cNvGraphicFramePr>
              <a:graphicFrameLocks noChangeAspect="1"/>
            </wp:cNvGraphicFramePr>
            <a:graphic>
              <a:graphicData uri="http://schemas.openxmlformats.org/drawingml/2006/picture">
                <pic:pic>
                  <pic:nvPicPr>
                    <pic:cNvPr id="0" name="st_joseph_s_hospital_savannah_ga_us_may_2026_orp_corrosion.png"/>
                    <pic:cNvPicPr/>
                  </pic:nvPicPr>
                  <pic:blipFill>
                    <a:blip r:embed="rId13"/>
                    <a:stretch>
                      <a:fillRect/>
                    </a:stretch>
                  </pic:blipFill>
                  <pic:spPr>
                    <a:xfrm>
                      <a:off x="0" y="0"/>
                      <a:ext cx="5486400" cy="2584849"/>
                    </a:xfrm>
                    <a:prstGeom prst="rect"/>
                  </pic:spPr>
                </pic:pic>
              </a:graphicData>
            </a:graphic>
          </wp:inline>
        </w:drawing>
      </w:r>
    </w:p>
    <w:p>
      <w:pPr>
        <w:spacing w:after="120"/>
        <w:jc w:val="center"/>
      </w:pPr>
      <w:r>
        <w:rPr>
          <w:i/>
          <w:color w:val="444444"/>
          <w:sz w:val="17"/>
        </w:rPr>
        <w:t>Figure 3: ORP vs Copper Corrosion Rate — May 2026</w:t>
      </w:r>
    </w:p>
    <w:p>
      <w:pPr>
        <w:spacing w:before="40" w:after="200"/>
      </w:pPr>
      <w:r>
        <w:rPr>
          <w:b/>
          <w:i/>
          <w:color w:val="333333"/>
          <w:sz w:val="19"/>
        </w:rPr>
        <w:t xml:space="preserve">Comment: </w:t>
      </w:r>
      <w:r>
        <w:rPr>
          <w:i/>
          <w:color w:val="333333"/>
          <w:sz w:val="19"/>
        </w:rPr>
        <w:t>Pattern: ORP response is decreasing across the month.</w:t>
      </w:r>
      <w:r>
        <w:br/>
      </w:r>
      <w:r>
        <w:rPr>
          <w:i/>
          <w:color w:val="333333"/>
          <w:sz w:val="19"/>
        </w:rPr>
        <w:t>ORP showed a visible spike response pattern during the month without relying on absolute ORP values.</w:t>
      </w:r>
      <w:r>
        <w:br/>
      </w:r>
      <w:r>
        <w:rPr>
          <w:i/>
          <w:color w:val="333333"/>
          <w:sz w:val="19"/>
        </w:rPr>
        <w:t>Copper corrosion decreased across the month while the ORP pattern changed.</w:t>
      </w:r>
      <w:r>
        <w:br/>
      </w:r>
      <w:r>
        <w:rPr>
          <w:i/>
          <w:color w:val="333333"/>
          <w:sz w:val="19"/>
        </w:rPr>
        <w:t>Likely reason: biocide response is present and corrosion inhibitor is preventing a copper upset.</w:t>
      </w:r>
    </w:p>
    <w:p>
      <w:pPr>
        <w:spacing w:before="200" w:after="60"/>
      </w:pPr>
      <w:r>
        <w:rPr>
          <w:b/>
          <w:color w:val="005F58"/>
          <w:sz w:val="26"/>
        </w:rPr>
        <w:t>Oxidizing Biocide Pump Relay vs Copper Corrosion</w:t>
      </w:r>
    </w:p>
    <w:p>
      <w:pPr>
        <w:jc w:val="center"/>
      </w:pPr>
      <w:r>
        <w:drawing>
          <wp:inline xmlns:a="http://schemas.openxmlformats.org/drawingml/2006/main" xmlns:pic="http://schemas.openxmlformats.org/drawingml/2006/picture">
            <wp:extent cx="5486400" cy="2582656"/>
            <wp:docPr id="4" name="Picture 4"/>
            <wp:cNvGraphicFramePr>
              <a:graphicFrameLocks noChangeAspect="1"/>
            </wp:cNvGraphicFramePr>
            <a:graphic>
              <a:graphicData uri="http://schemas.openxmlformats.org/drawingml/2006/picture">
                <pic:pic>
                  <pic:nvPicPr>
                    <pic:cNvPr id="0" name="st_joseph_s_hospital_savannah_ga_us_may_2026_biocide_corrosion.png"/>
                    <pic:cNvPicPr/>
                  </pic:nvPicPr>
                  <pic:blipFill>
                    <a:blip r:embed="rId14"/>
                    <a:stretch>
                      <a:fillRect/>
                    </a:stretch>
                  </pic:blipFill>
                  <pic:spPr>
                    <a:xfrm>
                      <a:off x="0" y="0"/>
                      <a:ext cx="5486400" cy="2582656"/>
                    </a:xfrm>
                    <a:prstGeom prst="rect"/>
                  </pic:spPr>
                </pic:pic>
              </a:graphicData>
            </a:graphic>
          </wp:inline>
        </w:drawing>
      </w:r>
    </w:p>
    <w:p>
      <w:pPr>
        <w:spacing w:after="120"/>
        <w:jc w:val="center"/>
      </w:pPr>
      <w:r>
        <w:rPr>
          <w:i/>
          <w:color w:val="444444"/>
          <w:sz w:val="17"/>
        </w:rPr>
        <w:t>Figure 4: Oxidizing Biocide Pump Relay vs Copper Corrosion — May 2026</w:t>
      </w:r>
    </w:p>
    <w:p>
      <w:pPr>
        <w:spacing w:before="40" w:after="200"/>
      </w:pPr>
      <w:r>
        <w:rPr>
          <w:b/>
          <w:i/>
          <w:color w:val="333333"/>
          <w:sz w:val="19"/>
        </w:rPr>
        <w:t xml:space="preserve">Comment: </w:t>
      </w:r>
      <w:r>
        <w:rPr>
          <w:i/>
          <w:color w:val="333333"/>
          <w:sz w:val="19"/>
        </w:rPr>
        <w:t>Pattern: biocide feed versus copper corrosion is decreasing, but remains good against the target.</w:t>
      </w:r>
      <w:r>
        <w:br/>
      </w:r>
      <w:r>
        <w:rPr>
          <w:i/>
          <w:color w:val="333333"/>
          <w:sz w:val="19"/>
        </w:rPr>
        <w:t>Biocide relay activity was present in the monthly trend.</w:t>
      </w:r>
      <w:r>
        <w:br/>
      </w:r>
      <w:r>
        <w:rPr>
          <w:i/>
          <w:color w:val="333333"/>
          <w:sz w:val="19"/>
        </w:rPr>
        <w:t>Relay activity increased across the month when the month is split into early and late periods.</w:t>
      </w:r>
      <w:r>
        <w:br/>
      </w:r>
      <w:r>
        <w:rPr>
          <w:i/>
          <w:color w:val="333333"/>
          <w:sz w:val="19"/>
        </w:rPr>
        <w:t>Likely reason: relay feed timing is adequate and copper corrosion remains protected.</w:t>
      </w:r>
    </w:p>
    <w:p>
      <w:pPr>
        <w:spacing w:before="200" w:after="60"/>
      </w:pPr>
      <w:r>
        <w:rPr>
          <w:b/>
          <w:color w:val="005F58"/>
          <w:sz w:val="26"/>
        </w:rPr>
        <w:t>Electrode Conductivity</w:t>
      </w:r>
    </w:p>
    <w:p>
      <w:pPr>
        <w:jc w:val="center"/>
      </w:pPr>
      <w:r>
        <w:drawing>
          <wp:inline xmlns:a="http://schemas.openxmlformats.org/drawingml/2006/main" xmlns:pic="http://schemas.openxmlformats.org/drawingml/2006/picture">
            <wp:extent cx="5486400" cy="2582656"/>
            <wp:docPr id="5" name="Picture 5"/>
            <wp:cNvGraphicFramePr>
              <a:graphicFrameLocks noChangeAspect="1"/>
            </wp:cNvGraphicFramePr>
            <a:graphic>
              <a:graphicData uri="http://schemas.openxmlformats.org/drawingml/2006/picture">
                <pic:pic>
                  <pic:nvPicPr>
                    <pic:cNvPr id="0" name="st_joseph_s_hospital_savannah_ga_us_may_2026_conductivity.png"/>
                    <pic:cNvPicPr/>
                  </pic:nvPicPr>
                  <pic:blipFill>
                    <a:blip r:embed="rId15"/>
                    <a:stretch>
                      <a:fillRect/>
                    </a:stretch>
                  </pic:blipFill>
                  <pic:spPr>
                    <a:xfrm>
                      <a:off x="0" y="0"/>
                      <a:ext cx="5486400" cy="2582656"/>
                    </a:xfrm>
                    <a:prstGeom prst="rect"/>
                  </pic:spPr>
                </pic:pic>
              </a:graphicData>
            </a:graphic>
          </wp:inline>
        </w:drawing>
      </w:r>
    </w:p>
    <w:p>
      <w:pPr>
        <w:spacing w:after="120"/>
        <w:jc w:val="center"/>
      </w:pPr>
      <w:r>
        <w:rPr>
          <w:i/>
          <w:color w:val="444444"/>
          <w:sz w:val="17"/>
        </w:rPr>
        <w:t>Figure 5: Electrode Conductivity — May 2026</w:t>
      </w:r>
    </w:p>
    <w:p>
      <w:pPr>
        <w:spacing w:before="40" w:after="200"/>
      </w:pPr>
      <w:r>
        <w:rPr>
          <w:b/>
          <w:i/>
          <w:color w:val="333333"/>
          <w:sz w:val="19"/>
        </w:rPr>
        <w:t xml:space="preserve">Comment: </w:t>
      </w:r>
      <w:r>
        <w:rPr>
          <w:i/>
          <w:color w:val="333333"/>
          <w:sz w:val="19"/>
        </w:rPr>
        <w:t>Pattern: conductivity is increasing and needs attention against the target.</w:t>
      </w:r>
      <w:r>
        <w:br/>
      </w:r>
      <w:r>
        <w:rPr>
          <w:i/>
          <w:color w:val="333333"/>
          <w:sz w:val="19"/>
        </w:rPr>
        <w:t>The trend moved from about 693.0 µS/cm at the start to 756.5 µS/cm at the end.</w:t>
      </w:r>
      <w:r>
        <w:br/>
      </w:r>
      <w:r>
        <w:rPr>
          <w:i/>
          <w:color w:val="333333"/>
          <w:sz w:val="19"/>
        </w:rPr>
        <w:t>The conductivity average was above the configured range. The monthly in-range performance was 7.6%.</w:t>
      </w:r>
      <w:r>
        <w:br/>
      </w:r>
      <w:r>
        <w:rPr>
          <w:i/>
          <w:color w:val="333333"/>
          <w:sz w:val="19"/>
        </w:rPr>
        <w:t>Likely reason: reduced blowdown, higher cycles, evaporation concentration, or concentrated makeup is raising conductivity.</w:t>
      </w:r>
    </w:p>
    <w:p>
      <w:r>
        <w:br w:type="page"/>
      </w:r>
    </w:p>
    <w:p>
      <w:pPr>
        <w:pBdr>
          <w:bottom w:val="single" w:sz="8" w:space="4" w:color="00857C"/>
        </w:pBdr>
        <w:spacing w:before="280" w:after="80"/>
      </w:pPr>
      <w:r>
        <w:rPr>
          <w:b/>
          <w:color w:val="00857C"/>
          <w:sz w:val="32"/>
        </w:rPr>
        <w:t>Closing Summary</w:t>
      </w:r>
    </w:p>
    <w:p>
      <w:pPr>
        <w:spacing w:before="80" w:after="120"/>
        <w:jc w:val="left"/>
      </w:pPr>
      <w:r>
        <w:rPr>
          <w:b w:val="0"/>
          <w:i w:val="0"/>
          <w:sz w:val="20"/>
        </w:rPr>
        <w:t>Overall performance for May 2026 was Good for corrosion control and water efficiency, Stable for microbial control, and Action Required for scale control due to Traced Product control variability. The primary follow-up item is to review Traced Product feed consistency and calibration during the upcoming service visit while continuing to monitor conductivity and COC performance.</w:t>
      </w:r>
    </w:p>
    <w:sectPr w:rsidR="00FC693F" w:rsidRPr="0006063C" w:rsidSect="00034616">
      <w:headerReference w:type="default" r:id="rId9"/>
      <w:footerReference w:type="default" r:id="rId10"/>
      <w:pgSz w:w="12240" w:h="15840"/>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444444"/>
        <w:sz w:val="16"/>
      </w:rPr>
      <w:t>Buckman Digital Water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00857C"/>
      </w:pBdr>
    </w:pPr>
    <w:r>
      <w:rPr>
        <w:color w:val="444444"/>
        <w:sz w:val="16"/>
      </w:rPr>
      <w:t>Buckman  |  St. Joseph's Hospital Savannah GA (US)  |  May 2026 Cooling Water Performance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