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Synthomer Chester SC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Synthomer Chester SC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84253f5ee2c1</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Synthomer Chester SC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21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0.56 mpy and 0.45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in-range performance could not be calculated for this reporting month. Polymer consumption rate averaged 11.9% and increased from 0.0% at the start of the month to 29.3% at the end of the month.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ORP spike response of at least 50 mV was observed at least two times per week during oxidizing biocide application, indicating good microbial dosage.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100.0 µS/cm</w:t>
            </w:r>
          </w:p>
        </w:tc>
        <w:tc>
          <w:tcPr>
            <w:tcW w:type="dxa" w:w="1928"/>
            <w:shd w:val="clear" w:color="auto" w:fill="FFFFFF"/>
          </w:tcPr>
          <w:p>
            <w:pPr>
              <w:spacing w:before="60" w:after="60"/>
            </w:pPr>
            <w:r>
              <w:rPr>
                <w:sz w:val="18"/>
              </w:rPr>
              <w:t>10.0</w:t>
            </w:r>
          </w:p>
        </w:tc>
        <w:tc>
          <w:tcPr>
            <w:tcW w:type="dxa" w:w="1928"/>
            <w:shd w:val="clear" w:color="auto" w:fill="FFFFFF"/>
          </w:tcPr>
          <w:p>
            <w:pPr>
              <w:spacing w:before="60" w:after="60"/>
            </w:pPr>
            <w:r>
              <w:rPr>
                <w:sz w:val="18"/>
              </w:rPr>
              <w:t>9.58</w:t>
            </w:r>
          </w:p>
        </w:tc>
        <w:tc>
          <w:tcPr>
            <w:tcW w:type="dxa" w:w="1928"/>
            <w:shd w:val="clear" w:color="auto" w:fill="FFFFFF"/>
          </w:tcPr>
          <w:p>
            <w:pPr>
              <w:spacing w:before="60" w:after="60"/>
            </w:pPr>
            <w:r>
              <w:rPr>
                <w:sz w:val="18"/>
              </w:rPr>
              <w:t>4.2%</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Cooling System</w:t>
            </w:r>
          </w:p>
        </w:tc>
        <w:tc>
          <w:tcPr>
            <w:tcW w:type="dxa" w:w="1247"/>
            <w:shd w:val="clear" w:color="auto" w:fill="FFFFFF"/>
          </w:tcPr>
          <w:p>
            <w:pPr>
              <w:spacing w:before="60" w:after="60"/>
            </w:pPr>
            <w:r>
              <w:rPr>
                <w:sz w:val="18"/>
              </w:rPr>
              <w:t>9.58</w:t>
            </w:r>
          </w:p>
        </w:tc>
        <w:tc>
          <w:tcPr>
            <w:tcW w:type="dxa" w:w="1247"/>
            <w:shd w:val="clear" w:color="auto" w:fill="FFFFFF"/>
          </w:tcPr>
          <w:p>
            <w:pPr>
              <w:spacing w:before="60" w:after="60"/>
            </w:pPr>
            <w:r>
              <w:rPr>
                <w:sz w:val="18"/>
              </w:rPr>
              <w:t>10.00</w:t>
            </w:r>
          </w:p>
        </w:tc>
        <w:tc>
          <w:tcPr>
            <w:tcW w:type="dxa" w:w="1247"/>
            <w:shd w:val="clear" w:color="auto" w:fill="FFFFFF"/>
          </w:tcPr>
          <w:p>
            <w:pPr>
              <w:spacing w:before="60" w:after="60"/>
            </w:pPr>
            <w:r>
              <w:rPr>
                <w:sz w:val="18"/>
              </w:rPr>
              <w:t>4.2%</w:t>
            </w:r>
          </w:p>
        </w:tc>
        <w:tc>
          <w:tcPr>
            <w:tcW w:type="dxa" w:w="2041"/>
            <w:shd w:val="clear" w:color="auto" w:fill="FFFFFF"/>
          </w:tcPr>
          <w:p>
            <w:pPr>
              <w:spacing w:before="60" w:after="60"/>
            </w:pPr>
            <w:r>
              <w:rPr>
                <w:sz w:val="18"/>
              </w:rPr>
              <w:t>24,299 gal/year</w:t>
            </w:r>
          </w:p>
        </w:tc>
        <w:tc>
          <w:tcPr>
            <w:tcW w:type="dxa" w:w="1928"/>
            <w:shd w:val="clear" w:color="auto" w:fill="FFFFFF"/>
          </w:tcPr>
          <w:p>
            <w:pPr>
              <w:spacing w:before="60" w:after="60"/>
            </w:pPr>
            <w:r>
              <w:rPr>
                <w:sz w:val="18"/>
              </w:rPr>
              <w:t>$1,214.97/year</w:t>
            </w:r>
          </w:p>
        </w:tc>
      </w:tr>
    </w:tbl>
    <w:p/>
    <w:p>
      <w:pPr>
        <w:spacing w:before="80" w:after="120"/>
        <w:jc w:val="left"/>
      </w:pPr>
      <w:r>
        <w:rPr>
          <w:b w:val="0"/>
          <w:i w:val="0"/>
          <w:sz w:val="20"/>
        </w:rPr>
        <w:t>Because current COC is more than 3% below the value-creation Target COC, estimated avoidable makeup water is 24,299 gallons per annum. At a makeup water cost of $5 per 100 gallons, the estimated annual savings opportunity is $1,214.97.</w:t>
      </w:r>
    </w:p>
    <w:p>
      <w:pPr>
        <w:spacing w:before="80" w:after="120"/>
        <w:jc w:val="left"/>
      </w:pPr>
      <w:r>
        <w:rPr>
          <w:b w:val="0"/>
          <w:i w:val="0"/>
          <w:sz w:val="20"/>
        </w:rPr>
        <w:t>The average conductivity is 957.6 µS/cm, which is below the recommended setpoint of 1000 µS/cm. Conductivity decreased from about 964.5 µS/cm at the start of the month to 950.7 µS/cm at the end. Water loss was observed from the COC gap, but last-day conductivity averaged 993.1 µS/cm and was maintained at 1000 µS/cm setpoint (+/-3%); continue monitoring blowdown and makeup stability.</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continued monitoring because Traced Product averaged below the 100.00 ppm setpoint while increasing toward target later in the month. Verify phosphate, silica, and product residuals during the next service visit before changing pump stroke or feed logic.</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0.562</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0.100</w:t>
            </w:r>
          </w:p>
        </w:tc>
        <w:tc>
          <w:tcPr>
            <w:tcW w:type="dxa" w:w="794"/>
            <w:shd w:val="clear" w:color="auto" w:fill="FFFFFF"/>
          </w:tcPr>
          <w:p>
            <w:pPr>
              <w:spacing w:before="60" w:after="60"/>
            </w:pPr>
            <w:r>
              <w:rPr>
                <w:sz w:val="18"/>
              </w:rPr>
              <w:t>1.075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0.451</w:t>
            </w:r>
          </w:p>
        </w:tc>
        <w:tc>
          <w:tcPr>
            <w:tcW w:type="dxa" w:w="850"/>
            <w:shd w:val="clear" w:color="auto" w:fill="F2F8F7"/>
          </w:tcPr>
          <w:p>
            <w:pPr>
              <w:spacing w:before="60" w:after="60"/>
            </w:pPr>
            <w:r>
              <w:rPr>
                <w:sz w:val="18"/>
              </w:rPr>
              <w:t>0.450</w:t>
            </w:r>
          </w:p>
        </w:tc>
        <w:tc>
          <w:tcPr>
            <w:tcW w:type="dxa" w:w="794"/>
            <w:shd w:val="clear" w:color="auto" w:fill="F2F8F7"/>
          </w:tcPr>
          <w:p>
            <w:pPr>
              <w:spacing w:before="60" w:after="60"/>
            </w:pPr>
            <w:r>
              <w:rPr>
                <w:sz w:val="18"/>
              </w:rPr>
              <w:t>0.051</w:t>
            </w:r>
          </w:p>
        </w:tc>
        <w:tc>
          <w:tcPr>
            <w:tcW w:type="dxa" w:w="794"/>
            <w:shd w:val="clear" w:color="auto" w:fill="F2F8F7"/>
          </w:tcPr>
          <w:p>
            <w:pPr>
              <w:spacing w:before="60" w:after="60"/>
            </w:pPr>
            <w:r>
              <w:rPr>
                <w:sz w:val="18"/>
              </w:rPr>
              <w:t>2.339</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68.9%</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65.575</w:t>
            </w:r>
          </w:p>
        </w:tc>
        <w:tc>
          <w:tcPr>
            <w:tcW w:type="dxa" w:w="850"/>
            <w:shd w:val="clear" w:color="auto" w:fill="FFFFFF"/>
          </w:tcPr>
          <w:p>
            <w:pPr>
              <w:spacing w:before="60" w:after="60"/>
            </w:pPr>
            <w:r>
              <w:rPr>
                <w:sz w:val="18"/>
              </w:rPr>
              <w:t>37.820</w:t>
            </w:r>
          </w:p>
        </w:tc>
        <w:tc>
          <w:tcPr>
            <w:tcW w:type="dxa" w:w="794"/>
            <w:shd w:val="clear" w:color="auto" w:fill="FFFFFF"/>
          </w:tcPr>
          <w:p>
            <w:pPr>
              <w:spacing w:before="60" w:after="60"/>
            </w:pPr>
            <w:r>
              <w:rPr>
                <w:sz w:val="18"/>
              </w:rPr>
              <w:t>10.195</w:t>
            </w:r>
          </w:p>
        </w:tc>
        <w:tc>
          <w:tcPr>
            <w:tcW w:type="dxa" w:w="794"/>
            <w:shd w:val="clear" w:color="auto" w:fill="FFFFFF"/>
          </w:tcPr>
          <w:p>
            <w:pPr>
              <w:spacing w:before="60" w:after="60"/>
            </w:pPr>
            <w:r>
              <w:rPr>
                <w:sz w:val="18"/>
              </w:rPr>
              <w:t>121.620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957.585</w:t>
            </w:r>
          </w:p>
        </w:tc>
        <w:tc>
          <w:tcPr>
            <w:tcW w:type="dxa" w:w="850"/>
            <w:shd w:val="clear" w:color="auto" w:fill="F2F8F7"/>
          </w:tcPr>
          <w:p>
            <w:pPr>
              <w:spacing w:before="60" w:after="60"/>
            </w:pPr>
            <w:r>
              <w:rPr>
                <w:sz w:val="18"/>
              </w:rPr>
              <w:t>50.324</w:t>
            </w:r>
          </w:p>
        </w:tc>
        <w:tc>
          <w:tcPr>
            <w:tcW w:type="dxa" w:w="794"/>
            <w:shd w:val="clear" w:color="auto" w:fill="F2F8F7"/>
          </w:tcPr>
          <w:p>
            <w:pPr>
              <w:spacing w:before="60" w:after="60"/>
            </w:pPr>
            <w:r>
              <w:rPr>
                <w:sz w:val="18"/>
              </w:rPr>
              <w:t>776.147</w:t>
            </w:r>
          </w:p>
        </w:tc>
        <w:tc>
          <w:tcPr>
            <w:tcW w:type="dxa" w:w="794"/>
            <w:shd w:val="clear" w:color="auto" w:fill="F2F8F7"/>
          </w:tcPr>
          <w:p>
            <w:pPr>
              <w:spacing w:before="60" w:after="60"/>
            </w:pPr>
            <w:r>
              <w:rPr>
                <w:sz w:val="18"/>
              </w:rPr>
              <w:t>1054.077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 Acceptable</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9.969</w:t>
            </w:r>
          </w:p>
        </w:tc>
        <w:tc>
          <w:tcPr>
            <w:tcW w:type="dxa" w:w="850"/>
            <w:shd w:val="clear" w:color="auto" w:fill="FFFFFF"/>
          </w:tcPr>
          <w:p>
            <w:pPr>
              <w:spacing w:before="60" w:after="60"/>
            </w:pPr>
            <w:r>
              <w:rPr>
                <w:sz w:val="18"/>
              </w:rPr>
              <w:t>0.092</w:t>
            </w:r>
          </w:p>
        </w:tc>
        <w:tc>
          <w:tcPr>
            <w:tcW w:type="dxa" w:w="794"/>
            <w:shd w:val="clear" w:color="auto" w:fill="FFFFFF"/>
          </w:tcPr>
          <w:p>
            <w:pPr>
              <w:spacing w:before="60" w:after="60"/>
            </w:pPr>
            <w:r>
              <w:rPr>
                <w:sz w:val="18"/>
              </w:rPr>
              <w:t>9.075</w:t>
            </w:r>
          </w:p>
        </w:tc>
        <w:tc>
          <w:tcPr>
            <w:tcW w:type="dxa" w:w="794"/>
            <w:shd w:val="clear" w:color="auto" w:fill="FFFFFF"/>
          </w:tcPr>
          <w:p>
            <w:pPr>
              <w:spacing w:before="60" w:after="60"/>
            </w:pPr>
            <w:r>
              <w:rPr>
                <w:sz w:val="18"/>
              </w:rPr>
              <w:t>10.244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62.6%</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539.114</w:t>
            </w:r>
          </w:p>
        </w:tc>
        <w:tc>
          <w:tcPr>
            <w:tcW w:type="dxa" w:w="850"/>
            <w:shd w:val="clear" w:color="auto" w:fill="F2F8F7"/>
          </w:tcPr>
          <w:p>
            <w:pPr>
              <w:spacing w:before="60" w:after="60"/>
            </w:pPr>
            <w:r>
              <w:rPr>
                <w:sz w:val="18"/>
              </w:rPr>
              <w:t>29.202</w:t>
            </w:r>
          </w:p>
        </w:tc>
        <w:tc>
          <w:tcPr>
            <w:tcW w:type="dxa" w:w="794"/>
            <w:shd w:val="clear" w:color="auto" w:fill="F2F8F7"/>
          </w:tcPr>
          <w:p>
            <w:pPr>
              <w:spacing w:before="60" w:after="60"/>
            </w:pPr>
            <w:r>
              <w:rPr>
                <w:sz w:val="18"/>
              </w:rPr>
              <w:t>493.796</w:t>
            </w:r>
          </w:p>
        </w:tc>
        <w:tc>
          <w:tcPr>
            <w:tcW w:type="dxa" w:w="794"/>
            <w:shd w:val="clear" w:color="auto" w:fill="F2F8F7"/>
          </w:tcPr>
          <w:p>
            <w:pPr>
              <w:spacing w:before="60" w:after="60"/>
            </w:pPr>
            <w:r>
              <w:rPr>
                <w:sz w:val="18"/>
              </w:rPr>
              <w:t>668.612</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10.429</w:t>
            </w:r>
          </w:p>
        </w:tc>
        <w:tc>
          <w:tcPr>
            <w:tcW w:type="dxa" w:w="850"/>
            <w:shd w:val="clear" w:color="auto" w:fill="FFFFFF"/>
          </w:tcPr>
          <w:p>
            <w:pPr>
              <w:spacing w:before="60" w:after="60"/>
            </w:pPr>
            <w:r>
              <w:rPr>
                <w:sz w:val="18"/>
              </w:rPr>
              <w:t>2.991</w:t>
            </w:r>
          </w:p>
        </w:tc>
        <w:tc>
          <w:tcPr>
            <w:tcW w:type="dxa" w:w="794"/>
            <w:shd w:val="clear" w:color="auto" w:fill="FFFFFF"/>
          </w:tcPr>
          <w:p>
            <w:pPr>
              <w:spacing w:before="60" w:after="60"/>
            </w:pPr>
            <w:r>
              <w:rPr>
                <w:sz w:val="18"/>
              </w:rPr>
              <w:t>3.202</w:t>
            </w:r>
          </w:p>
        </w:tc>
        <w:tc>
          <w:tcPr>
            <w:tcW w:type="dxa" w:w="794"/>
            <w:shd w:val="clear" w:color="auto" w:fill="FFFFFF"/>
          </w:tcPr>
          <w:p>
            <w:pPr>
              <w:spacing w:before="60" w:after="60"/>
            </w:pPr>
            <w:r>
              <w:rPr>
                <w:sz w:val="18"/>
              </w:rPr>
              <w:t>19.520</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9.166</w:t>
            </w:r>
          </w:p>
        </w:tc>
        <w:tc>
          <w:tcPr>
            <w:tcW w:type="dxa" w:w="850"/>
            <w:shd w:val="clear" w:color="auto" w:fill="F2F8F7"/>
          </w:tcPr>
          <w:p>
            <w:pPr>
              <w:spacing w:before="60" w:after="60"/>
            </w:pPr>
            <w:r>
              <w:rPr>
                <w:sz w:val="18"/>
              </w:rPr>
              <w:t>7.177</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30.391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synthomer_chester_s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decreasing, but remains good against the target.</w:t>
      </w:r>
      <w:r>
        <w:br/>
      </w:r>
      <w:r>
        <w:rPr>
          <w:i/>
          <w:color w:val="333333"/>
          <w:sz w:val="19"/>
        </w:rPr>
        <w:t>Mild steel corrosion decreased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inhibitor residual and operating chemistry are keeping corrosion protected.</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synthomer_chester_s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increasing and needs attention against the target.</w:t>
      </w:r>
      <w:r>
        <w:br/>
      </w:r>
      <w:r>
        <w:rPr>
          <w:i/>
          <w:color w:val="333333"/>
          <w:sz w:val="19"/>
        </w:rPr>
        <w:t>The trend moved from about 32.6 ppm at the start to 98.5 ppm at the end.</w:t>
      </w:r>
      <w:r>
        <w:br/>
      </w:r>
      <w:r>
        <w:rPr>
          <w:i/>
          <w:color w:val="333333"/>
          <w:sz w:val="19"/>
        </w:rPr>
        <w:t>The Traced Product average could not be compared with a configured range. The monthly in-range performance was N/A.</w:t>
      </w:r>
      <w:r>
        <w:br/>
      </w:r>
      <w:r>
        <w:rPr>
          <w:i/>
          <w:color w:val="333333"/>
          <w:sz w:val="19"/>
        </w:rPr>
        <w:t>Likely reason: feed control, conductivity control, and field residuals should be reviewed together.</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synthomer_chester_s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synthomer_chester_s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80468"/>
            <wp:docPr id="5" name="Picture 5"/>
            <wp:cNvGraphicFramePr>
              <a:graphicFrameLocks noChangeAspect="1"/>
            </wp:cNvGraphicFramePr>
            <a:graphic>
              <a:graphicData uri="http://schemas.openxmlformats.org/drawingml/2006/picture">
                <pic:pic>
                  <pic:nvPicPr>
                    <pic:cNvPr id="0" name="synthomer_chester_sc_us_august_2026_conductivity.png"/>
                    <pic:cNvPicPr/>
                  </pic:nvPicPr>
                  <pic:blipFill>
                    <a:blip r:embed="rId15"/>
                    <a:stretch>
                      <a:fillRect/>
                    </a:stretch>
                  </pic:blipFill>
                  <pic:spPr>
                    <a:xfrm>
                      <a:off x="0" y="0"/>
                      <a:ext cx="5486400" cy="2580468"/>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964.5 µS/cm at the start to 950.7 µS/cm at the end.</w:t>
      </w:r>
      <w:r>
        <w:br/>
      </w:r>
      <w:r>
        <w:rPr>
          <w:i/>
          <w:color w:val="333333"/>
          <w:sz w:val="19"/>
        </w:rPr>
        <w:t>The conductivity average could not be compared with a configured range. The monthly in-range performance was N/A.</w:t>
      </w:r>
      <w:r>
        <w:br/>
      </w:r>
      <w:r>
        <w:rPr>
          <w:i/>
          <w:color w:val="333333"/>
          <w:sz w:val="19"/>
        </w:rPr>
        <w:t>Likely reason: increased makeup, dilution, water loss, or blowdown activity caused the downward movement.</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Synthomer showed Excellent corrosion control and Acceptable microbial and water-efficiency performance. The main follow-up is to confirm product residual recovery toward setpoint and validate field residuals because SCC did not provide lower and upper control limits for percent-in-range calculation. Continued review of conductivity, FRC, dip-slide CFU, phosphate, and silica residuals is recommended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Synthomer Chester SC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