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22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During the reporting period, the system remained under good control. The mild steel and copper corrosion rates averaged 0.56 mpy and 0.45 mpy, respectively, both of which are well within the recommended limits of &lt;5 mpy and &lt;0.5 mpy.</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The Traced Product level was maintained below the setpoint until 10 August 2026. Later, the Traced Product level was well maintained at the setpoint of 100.0 ppm. The low Traced Product during the first 10 days can be due to lack of inventory, dosing pump lost prime, or a leak in the pump discharge line.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ynthomer_chester_s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5" name="Picture 5"/>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5"/>
                    <a:stretch>
                      <a:fillRect/>
                    </a:stretch>
                  </pic:blipFill>
                  <pic:spPr>
                    <a:xfrm>
                      <a:off x="0" y="0"/>
                      <a:ext cx="5486400" cy="2580468"/>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964.5 µS/cm at the start to 950.7 µS/cm at the end.</w:t>
      </w:r>
      <w:r>
        <w:br/>
      </w:r>
      <w:r>
        <w:rPr>
          <w:i/>
          <w:color w:val="333333"/>
          <w:sz w:val="19"/>
        </w:rPr>
        <w:t>The conductivity average could not be compared with a configured range. The monthly in-range performance was N/A.</w:t>
      </w:r>
      <w:r>
        <w:br/>
      </w:r>
      <w:r>
        <w:rPr>
          <w:i/>
          <w:color w:val="333333"/>
          <w:sz w:val="19"/>
        </w:rPr>
        <w:t>Likely reason: increased makeup, dilution, water loss, or blowdown activity caused the downward movement.</w:t>
      </w:r>
    </w:p>
    <w:p>
      <w:pPr>
        <w:spacing w:before="200" w:after="60"/>
      </w:pPr>
      <w:r>
        <w:rPr>
          <w:b/>
          <w:color w:val="005F58"/>
          <w:sz w:val="26"/>
        </w:rPr>
        <w:t>Traced Product vs Cell Fouling</w:t>
      </w:r>
    </w:p>
    <w:p>
      <w:pPr>
        <w:jc w:val="center"/>
      </w:pPr>
      <w:r>
        <w:drawing>
          <wp:inline xmlns:a="http://schemas.openxmlformats.org/drawingml/2006/main" xmlns:pic="http://schemas.openxmlformats.org/drawingml/2006/picture">
            <wp:extent cx="5486400" cy="2587045"/>
            <wp:docPr id="6" name="Picture 6"/>
            <wp:cNvGraphicFramePr>
              <a:graphicFrameLocks noChangeAspect="1"/>
            </wp:cNvGraphicFramePr>
            <a:graphic>
              <a:graphicData uri="http://schemas.openxmlformats.org/drawingml/2006/picture">
                <pic:pic>
                  <pic:nvPicPr>
                    <pic:cNvPr id="0" name="synthomer_chester_sc_us_august_2026_traced_product_cell_fouling.png"/>
                    <pic:cNvPicPr/>
                  </pic:nvPicPr>
                  <pic:blipFill>
                    <a:blip r:embed="rId16"/>
                    <a:stretch>
                      <a:fillRect/>
                    </a:stretch>
                  </pic:blipFill>
                  <pic:spPr>
                    <a:xfrm>
                      <a:off x="0" y="0"/>
                      <a:ext cx="5486400" cy="2587045"/>
                    </a:xfrm>
                    <a:prstGeom prst="rect"/>
                  </pic:spPr>
                </pic:pic>
              </a:graphicData>
            </a:graphic>
          </wp:inline>
        </w:drawing>
      </w:r>
    </w:p>
    <w:p>
      <w:pPr>
        <w:spacing w:after="120"/>
        <w:jc w:val="center"/>
      </w:pPr>
      <w:r>
        <w:rPr>
          <w:i/>
          <w:color w:val="444444"/>
          <w:sz w:val="17"/>
        </w:rPr>
        <w:t>Figure 6: Traced Product vs Cell Fouling — August 2026</w:t>
      </w:r>
    </w:p>
    <w:p>
      <w:pPr>
        <w:spacing w:before="40" w:after="200"/>
      </w:pPr>
      <w:r>
        <w:rPr>
          <w:b/>
          <w:i/>
          <w:color w:val="333333"/>
          <w:sz w:val="19"/>
        </w:rPr>
        <w:t xml:space="preserve">Comment: </w:t>
      </w:r>
      <w:r>
        <w:rPr>
          <w:i/>
          <w:color w:val="333333"/>
          <w:sz w:val="19"/>
        </w:rPr>
        <w:t>Pattern: cell fouling is decreasing and needs attention against the target.</w:t>
      </w:r>
      <w:r>
        <w:br/>
      </w:r>
      <w:r>
        <w:rPr>
          <w:i/>
          <w:color w:val="333333"/>
          <w:sz w:val="19"/>
        </w:rPr>
        <w:t>Cell fouling averaged 9.2% and peaked at 30.4% during the month.</w:t>
      </w:r>
      <w:r>
        <w:br/>
      </w:r>
      <w:r>
        <w:rPr>
          <w:i/>
          <w:color w:val="333333"/>
          <w:sz w:val="19"/>
        </w:rPr>
        <w:t>Traced Product increased across the month while cell fouling decreased across the month.</w:t>
      </w:r>
      <w:r>
        <w:br/>
      </w:r>
      <w:r>
        <w:rPr>
          <w:i/>
          <w:color w:val="333333"/>
          <w:sz w:val="19"/>
        </w:rPr>
        <w:t>Cell fouling exceeded the 30% limit, so the fluorometer cell should be inspected and cleaned, and sample flow should be confirmed during the next service visit.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