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60"/>
        <w:jc w:val="center"/>
      </w:pPr>
      <w:r>
        <w:rPr>
          <w:b/>
          <w:i w:val="0"/>
          <w:color w:val="444444"/>
          <w:sz w:val="20"/>
        </w:rPr>
        <w:t>BUCKMAN DIGITAL WATER</w:t>
      </w:r>
    </w:p>
    <w:p>
      <w:pPr>
        <w:spacing w:before="60" w:after="60"/>
        <w:jc w:val="center"/>
      </w:pPr>
      <w:r>
        <w:rPr>
          <w:b/>
          <w:i w:val="0"/>
          <w:sz w:val="40"/>
        </w:rPr>
        <w:t>Monthly Cooling Water Performance Report</w:t>
      </w:r>
    </w:p>
    <w:p>
      <w:pPr>
        <w:spacing w:before="60" w:after="200"/>
        <w:jc w:val="center"/>
      </w:pPr>
      <w:r>
        <w:rPr>
          <w:b/>
          <w:i w:val="0"/>
          <w:color w:val="00857C"/>
          <w:sz w:val="30"/>
        </w:rPr>
        <w:t>Synthomer Chester SC (US)</w:t>
      </w:r>
    </w:p>
    <w:p>
      <w:pPr>
        <w:spacing w:before="60" w:after="360"/>
        <w:jc w:val="center"/>
      </w:pPr>
      <w:r>
        <w:rPr>
          <w:b w:val="0"/>
          <w:i w:val="0"/>
          <w:color w:val="444444"/>
          <w:sz w:val="20"/>
        </w:rPr>
        <w:t>Reporting Month: August 2026</w:t>
      </w:r>
    </w:p>
    <w:tbl>
      <w:tblPr>
        <w:tblStyle w:val="TableGrid"/>
        <w:tblW w:type="auto" w:w="0"/>
        <w:tblLook w:firstColumn="1" w:firstRow="1" w:lastColumn="0" w:lastRow="0" w:noHBand="0" w:noVBand="1" w:val="04A0"/>
      </w:tblPr>
      <w:tblGrid>
        <w:gridCol w:w="2521"/>
        <w:gridCol w:w="2521"/>
        <w:gridCol w:w="2521"/>
        <w:gridCol w:w="2521"/>
      </w:tblGrid>
      <w:tr>
        <w:tc>
          <w:tcPr>
            <w:tcW w:type="dxa" w:w="3118"/>
            <w:shd w:val="clear" w:color="auto" w:fill="00857C"/>
          </w:tcPr>
          <w:p>
            <w:pPr>
              <w:spacing w:before="60" w:after="60"/>
            </w:pPr>
            <w:r>
              <w:rPr>
                <w:b/>
                <w:color w:val="FFFFFF"/>
                <w:sz w:val="18"/>
              </w:rPr>
              <w:t>Customer / Site</w:t>
            </w:r>
          </w:p>
        </w:tc>
        <w:tc>
          <w:tcPr>
            <w:tcW w:type="dxa" w:w="1701"/>
            <w:shd w:val="clear" w:color="auto" w:fill="00857C"/>
          </w:tcPr>
          <w:p>
            <w:pPr>
              <w:spacing w:before="60" w:after="60"/>
            </w:pPr>
            <w:r>
              <w:rPr>
                <w:b/>
                <w:color w:val="FFFFFF"/>
                <w:sz w:val="18"/>
              </w:rPr>
              <w:t>System</w:t>
            </w:r>
          </w:p>
        </w:tc>
        <w:tc>
          <w:tcPr>
            <w:tcW w:type="dxa" w:w="1984"/>
            <w:shd w:val="clear" w:color="auto" w:fill="00857C"/>
          </w:tcPr>
          <w:p>
            <w:pPr>
              <w:spacing w:before="60" w:after="60"/>
            </w:pPr>
            <w:r>
              <w:rPr>
                <w:b/>
                <w:color w:val="FFFFFF"/>
                <w:sz w:val="18"/>
              </w:rPr>
              <w:t>Controller</w:t>
            </w:r>
          </w:p>
        </w:tc>
        <w:tc>
          <w:tcPr>
            <w:tcW w:type="dxa" w:w="2551"/>
            <w:shd w:val="clear" w:color="auto" w:fill="00857C"/>
          </w:tcPr>
          <w:p>
            <w:pPr>
              <w:spacing w:before="60" w:after="60"/>
            </w:pPr>
            <w:r>
              <w:rPr>
                <w:b/>
                <w:color w:val="FFFFFF"/>
                <w:sz w:val="18"/>
              </w:rPr>
              <w:t>Prepared For</w:t>
            </w:r>
          </w:p>
        </w:tc>
      </w:tr>
      <w:tr>
        <w:tc>
          <w:tcPr>
            <w:tcW w:type="dxa" w:w="3118"/>
            <w:shd w:val="clear" w:color="auto" w:fill="FFFFFF"/>
          </w:tcPr>
          <w:p>
            <w:pPr>
              <w:spacing w:before="60" w:after="60"/>
            </w:pPr>
            <w:r>
              <w:rPr>
                <w:sz w:val="18"/>
              </w:rPr>
              <w:t>Synthomer Chester SC (US)</w:t>
            </w:r>
          </w:p>
        </w:tc>
        <w:tc>
          <w:tcPr>
            <w:tcW w:type="dxa" w:w="1701"/>
            <w:shd w:val="clear" w:color="auto" w:fill="FFFFFF"/>
          </w:tcPr>
          <w:p>
            <w:pPr>
              <w:spacing w:before="60" w:after="60"/>
            </w:pPr>
            <w:r>
              <w:rPr>
                <w:sz w:val="18"/>
              </w:rPr>
              <w:t>Cooling Tower</w:t>
            </w:r>
          </w:p>
        </w:tc>
        <w:tc>
          <w:tcPr>
            <w:tcW w:type="dxa" w:w="1984"/>
            <w:shd w:val="clear" w:color="auto" w:fill="FFFFFF"/>
          </w:tcPr>
          <w:p>
            <w:pPr>
              <w:spacing w:before="60" w:after="60"/>
            </w:pPr>
            <w:r>
              <w:rPr>
                <w:sz w:val="18"/>
              </w:rPr>
              <w:t>84253f5ee2c1</w:t>
            </w:r>
          </w:p>
        </w:tc>
        <w:tc>
          <w:tcPr>
            <w:tcW w:type="dxa" w:w="2551"/>
            <w:shd w:val="clear" w:color="auto" w:fill="FFFFFF"/>
          </w:tcPr>
          <w:p>
            <w:pPr>
              <w:spacing w:before="60" w:after="60"/>
            </w:pPr>
            <w:r>
              <w:rPr>
                <w:sz w:val="18"/>
              </w:rPr>
              <w:t>Monthly Performance Review</w:t>
            </w:r>
          </w:p>
        </w:tc>
      </w:tr>
    </w:tbl>
    <w:p/>
    <w:p>
      <w:pPr>
        <w:spacing w:before="200" w:after="120"/>
        <w:jc w:val="left"/>
      </w:pPr>
    </w:p>
    <w:p>
      <w:pPr>
        <w:spacing w:before="80" w:after="120"/>
        <w:jc w:val="center"/>
      </w:pPr>
      <w:r>
        <w:rPr>
          <w:b w:val="0"/>
          <w:i w:val="0"/>
          <w:color w:val="444444"/>
          <w:sz w:val="19"/>
        </w:rPr>
        <w:t>This report summarises corrosion control, scale control, microbial control, water efficiency, product efficiency, and proactive system support for Synthomer Chester SC (US), August 2026, using controller setpoints, telemetry KPIs, field data, and service note records.</w:t>
      </w:r>
    </w:p>
    <w:p>
      <w:pPr>
        <w:spacing w:before="200" w:after="120"/>
        <w:jc w:val="left"/>
      </w:pPr>
    </w:p>
    <w:tbl>
      <w:tblPr>
        <w:tblStyle w:val="TableGrid"/>
        <w:tblW w:type="auto" w:w="0"/>
        <w:tblLook w:firstColumn="1" w:firstRow="1" w:lastColumn="0" w:lastRow="0" w:noHBand="0" w:noVBand="1" w:val="04A0"/>
      </w:tblPr>
      <w:tblGrid>
        <w:gridCol w:w="3362"/>
        <w:gridCol w:w="3362"/>
        <w:gridCol w:w="3362"/>
      </w:tblGrid>
      <w:tr>
        <w:tc>
          <w:tcPr>
            <w:tcW w:type="dxa" w:w="3118"/>
            <w:shd w:val="clear" w:color="auto" w:fill="00857C"/>
          </w:tcPr>
          <w:p>
            <w:pPr>
              <w:spacing w:before="60" w:after="60"/>
            </w:pPr>
            <w:r>
              <w:rPr>
                <w:b/>
                <w:color w:val="FFFFFF"/>
                <w:sz w:val="18"/>
              </w:rPr>
              <w:t>Prepared By</w:t>
            </w:r>
          </w:p>
        </w:tc>
        <w:tc>
          <w:tcPr>
            <w:tcW w:type="dxa" w:w="2835"/>
            <w:shd w:val="clear" w:color="auto" w:fill="00857C"/>
          </w:tcPr>
          <w:p>
            <w:pPr>
              <w:spacing w:before="60" w:after="60"/>
            </w:pPr>
            <w:r>
              <w:rPr>
                <w:b/>
                <w:color w:val="FFFFFF"/>
                <w:sz w:val="18"/>
              </w:rPr>
              <w:t>Prepared Date</w:t>
            </w:r>
          </w:p>
        </w:tc>
        <w:tc>
          <w:tcPr>
            <w:tcW w:type="dxa" w:w="3402"/>
            <w:shd w:val="clear" w:color="auto" w:fill="00857C"/>
          </w:tcPr>
          <w:p>
            <w:pPr>
              <w:spacing w:before="60" w:after="60"/>
            </w:pPr>
            <w:r>
              <w:rPr>
                <w:b/>
                <w:color w:val="FFFFFF"/>
                <w:sz w:val="18"/>
              </w:rPr>
              <w:t>Report Status</w:t>
            </w:r>
          </w:p>
        </w:tc>
      </w:tr>
      <w:tr>
        <w:tc>
          <w:tcPr>
            <w:tcW w:type="dxa" w:w="3118"/>
            <w:shd w:val="clear" w:color="auto" w:fill="FFFFFF"/>
          </w:tcPr>
          <w:p>
            <w:pPr>
              <w:spacing w:before="60" w:after="60"/>
            </w:pPr>
            <w:r>
              <w:rPr>
                <w:sz w:val="18"/>
              </w:rPr>
              <w:t>Buckman Digital Water</w:t>
            </w:r>
          </w:p>
        </w:tc>
        <w:tc>
          <w:tcPr>
            <w:tcW w:type="dxa" w:w="2835"/>
            <w:shd w:val="clear" w:color="auto" w:fill="FFFFFF"/>
          </w:tcPr>
          <w:p>
            <w:pPr>
              <w:spacing w:before="60" w:after="60"/>
            </w:pPr>
            <w:r>
              <w:rPr>
                <w:sz w:val="18"/>
              </w:rPr>
              <w:t>22 September 2026</w:t>
            </w:r>
          </w:p>
        </w:tc>
        <w:tc>
          <w:tcPr>
            <w:tcW w:type="dxa" w:w="3402"/>
            <w:shd w:val="clear" w:color="auto" w:fill="FFFFFF"/>
          </w:tcPr>
          <w:p>
            <w:pPr>
              <w:spacing w:before="60" w:after="60"/>
            </w:pPr>
            <w:r>
              <w:rPr>
                <w:sz w:val="18"/>
              </w:rPr>
              <w:t>Draft</w:t>
            </w:r>
          </w:p>
        </w:tc>
      </w:tr>
    </w:tbl>
    <w:p/>
    <w:p>
      <w:r>
        <w:br w:type="page"/>
      </w:r>
    </w:p>
    <w:p>
      <w:pPr>
        <w:pBdr>
          <w:bottom w:val="single" w:sz="8" w:space="4" w:color="00857C"/>
        </w:pBdr>
        <w:spacing w:before="280" w:after="80"/>
      </w:pPr>
      <w:r>
        <w:rPr>
          <w:b/>
          <w:color w:val="00857C"/>
          <w:sz w:val="32"/>
        </w:rPr>
        <w:t>Executive Summary</w:t>
      </w:r>
    </w:p>
    <w:p>
      <w:pPr>
        <w:spacing w:before="200" w:after="60"/>
      </w:pPr>
      <w:r>
        <w:rPr>
          <w:b/>
          <w:color w:val="005F58"/>
          <w:sz w:val="26"/>
        </w:rPr>
        <w:t>System Health Check</w:t>
      </w:r>
    </w:p>
    <w:p>
      <w:pPr>
        <w:spacing w:before="160" w:after="40"/>
      </w:pPr>
      <w:r>
        <w:rPr>
          <w:b/>
          <w:color w:val="222222"/>
          <w:sz w:val="22"/>
        </w:rPr>
        <w:t>Corrosion Control</w:t>
      </w:r>
    </w:p>
    <w:p>
      <w:pPr>
        <w:spacing w:before="60" w:after="100"/>
      </w:pPr>
      <w:r>
        <w:rPr>
          <w:b/>
          <w:sz w:val="20"/>
        </w:rPr>
        <w:t xml:space="preserve">Status: </w:t>
      </w:r>
      <w:r>
        <w:rPr>
          <w:b/>
          <w:color w:val="00857C"/>
          <w:sz w:val="20"/>
        </w:rPr>
        <w:t>Excellent</w:t>
      </w:r>
    </w:p>
    <w:p>
      <w:pPr>
        <w:spacing w:before="80" w:after="120"/>
        <w:jc w:val="left"/>
      </w:pPr>
      <w:r>
        <w:rPr>
          <w:b w:val="0"/>
          <w:i w:val="0"/>
          <w:sz w:val="20"/>
        </w:rPr>
        <w:t>During the reporting period, the system remained under good control. The mild steel and copper corrosion rates averaged 0.56 mpy and 0.45 mpy, respectively, both of which are well within the recommended limits of &lt;5 mpy and &lt;0.5 mpy.</w:t>
      </w:r>
    </w:p>
    <w:p>
      <w:pPr>
        <w:spacing w:before="160" w:after="40"/>
      </w:pPr>
      <w:r>
        <w:rPr>
          <w:b/>
          <w:color w:val="222222"/>
          <w:sz w:val="22"/>
        </w:rPr>
        <w:t>Scale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Traced Product in-range performance could not be calculated for this reporting month. Polymer consumption rate averaged 11.9% and increased from 0.0% at the start of the month to 29.3% at the end of the month. Conductivity was below its setpoint configuration range for most of the same period, so water loss, dilution, or blowdown/makeup behavior should be inspected during the upcoming service visit. Because polymer consumption increased by more than 5%, phosphate residual will be checked during the upcoming service visit.</w:t>
      </w:r>
    </w:p>
    <w:p>
      <w:pPr>
        <w:spacing w:before="160" w:after="40"/>
      </w:pPr>
      <w:r>
        <w:rPr>
          <w:b/>
          <w:color w:val="222222"/>
          <w:sz w:val="22"/>
        </w:rPr>
        <w:t>Microbial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ORP spike response of at least 50 mV was observed at least two times per week during oxidizing biocide application, indicating good microbial dosage. FRC and dip-slide will be analysed in the upcoming visit to ensure good microbial control.</w:t>
      </w:r>
    </w:p>
    <w:p>
      <w:pPr>
        <w:spacing w:before="200" w:after="60"/>
      </w:pPr>
      <w:r>
        <w:rPr>
          <w:b/>
          <w:color w:val="005F58"/>
          <w:sz w:val="26"/>
        </w:rPr>
        <w:t>Water Efficiency</w:t>
      </w:r>
    </w:p>
    <w:p>
      <w:pPr>
        <w:spacing w:before="60" w:after="100"/>
      </w:pPr>
      <w:r>
        <w:rPr>
          <w:b/>
          <w:sz w:val="20"/>
        </w:rPr>
        <w:t xml:space="preserve">Status: </w:t>
      </w:r>
      <w:r>
        <w:rPr>
          <w:b/>
          <w:color w:val="B8860B"/>
          <w:sz w:val="20"/>
        </w:rPr>
        <w:t>Acceptable</w:t>
      </w:r>
    </w:p>
    <w:tbl>
      <w:tblPr>
        <w:tblStyle w:val="TableGrid"/>
        <w:tblW w:type="auto" w:w="0"/>
        <w:tblLook w:firstColumn="1" w:firstRow="1" w:lastColumn="0" w:lastRow="0" w:noHBand="0" w:noVBand="1" w:val="04A0"/>
      </w:tblPr>
      <w:tblGrid>
        <w:gridCol w:w="2017"/>
        <w:gridCol w:w="2017"/>
        <w:gridCol w:w="2017"/>
        <w:gridCol w:w="2017"/>
        <w:gridCol w:w="2017"/>
      </w:tblGrid>
      <w:tr>
        <w:tc>
          <w:tcPr>
            <w:tcW w:type="dxa" w:w="1928"/>
            <w:shd w:val="clear" w:color="auto" w:fill="00857C"/>
          </w:tcPr>
          <w:p>
            <w:pPr>
              <w:spacing w:before="60" w:after="60"/>
            </w:pPr>
            <w:r>
              <w:rPr>
                <w:b/>
                <w:color w:val="FFFFFF"/>
                <w:sz w:val="18"/>
              </w:rPr>
              <w:t>MU Conductivity</w:t>
            </w:r>
          </w:p>
        </w:tc>
        <w:tc>
          <w:tcPr>
            <w:tcW w:type="dxa" w:w="1928"/>
            <w:shd w:val="clear" w:color="auto" w:fill="00857C"/>
          </w:tcPr>
          <w:p>
            <w:pPr>
              <w:spacing w:before="60" w:after="60"/>
            </w:pPr>
            <w:r>
              <w:rPr>
                <w:b/>
                <w:color w:val="FFFFFF"/>
                <w:sz w:val="18"/>
              </w:rPr>
              <w:t>Target COC</w:t>
            </w:r>
          </w:p>
        </w:tc>
        <w:tc>
          <w:tcPr>
            <w:tcW w:type="dxa" w:w="1928"/>
            <w:shd w:val="clear" w:color="auto" w:fill="00857C"/>
          </w:tcPr>
          <w:p>
            <w:pPr>
              <w:spacing w:before="60" w:after="60"/>
            </w:pPr>
            <w:r>
              <w:rPr>
                <w:b/>
                <w:color w:val="FFFFFF"/>
                <w:sz w:val="18"/>
              </w:rPr>
              <w:t>Actual COC</w:t>
            </w:r>
          </w:p>
        </w:tc>
        <w:tc>
          <w:tcPr>
            <w:tcW w:type="dxa" w:w="1928"/>
            <w:shd w:val="clear" w:color="auto" w:fill="00857C"/>
          </w:tcPr>
          <w:p>
            <w:pPr>
              <w:spacing w:before="60" w:after="60"/>
            </w:pPr>
            <w:r>
              <w:rPr>
                <w:b/>
                <w:color w:val="FFFFFF"/>
                <w:sz w:val="18"/>
              </w:rPr>
              <w:t>Deviation</w:t>
            </w:r>
          </w:p>
        </w:tc>
        <w:tc>
          <w:tcPr>
            <w:tcW w:type="dxa" w:w="1928"/>
            <w:shd w:val="clear" w:color="auto" w:fill="00857C"/>
          </w:tcPr>
          <w:p>
            <w:pPr>
              <w:spacing w:before="60" w:after="60"/>
            </w:pPr>
            <w:r>
              <w:rPr>
                <w:b/>
                <w:color w:val="FFFFFF"/>
                <w:sz w:val="18"/>
              </w:rPr>
              <w:t>Status</w:t>
            </w:r>
          </w:p>
        </w:tc>
      </w:tr>
      <w:tr>
        <w:tc>
          <w:tcPr>
            <w:tcW w:type="dxa" w:w="1928"/>
            <w:shd w:val="clear" w:color="auto" w:fill="FFFFFF"/>
          </w:tcPr>
          <w:p>
            <w:pPr>
              <w:spacing w:before="60" w:after="60"/>
            </w:pPr>
            <w:r>
              <w:rPr>
                <w:sz w:val="18"/>
              </w:rPr>
              <w:t>100.0 µS/cm</w:t>
            </w:r>
          </w:p>
        </w:tc>
        <w:tc>
          <w:tcPr>
            <w:tcW w:type="dxa" w:w="1928"/>
            <w:shd w:val="clear" w:color="auto" w:fill="FFFFFF"/>
          </w:tcPr>
          <w:p>
            <w:pPr>
              <w:spacing w:before="60" w:after="60"/>
            </w:pPr>
            <w:r>
              <w:rPr>
                <w:sz w:val="18"/>
              </w:rPr>
              <w:t>10.0</w:t>
            </w:r>
          </w:p>
        </w:tc>
        <w:tc>
          <w:tcPr>
            <w:tcW w:type="dxa" w:w="1928"/>
            <w:shd w:val="clear" w:color="auto" w:fill="FFFFFF"/>
          </w:tcPr>
          <w:p>
            <w:pPr>
              <w:spacing w:before="60" w:after="60"/>
            </w:pPr>
            <w:r>
              <w:rPr>
                <w:sz w:val="18"/>
              </w:rPr>
              <w:t>9.58</w:t>
            </w:r>
          </w:p>
        </w:tc>
        <w:tc>
          <w:tcPr>
            <w:tcW w:type="dxa" w:w="1928"/>
            <w:shd w:val="clear" w:color="auto" w:fill="FFFFFF"/>
          </w:tcPr>
          <w:p>
            <w:pPr>
              <w:spacing w:before="60" w:after="60"/>
            </w:pPr>
            <w:r>
              <w:rPr>
                <w:sz w:val="18"/>
              </w:rPr>
              <w:t>4.2%</w:t>
            </w:r>
          </w:p>
        </w:tc>
        <w:tc>
          <w:tcPr>
            <w:tcW w:type="dxa" w:w="1928"/>
            <w:shd w:val="clear" w:color="auto" w:fill="FFFFFF"/>
          </w:tcPr>
          <w:p>
            <w:pPr>
              <w:spacing w:before="60" w:after="60"/>
            </w:pPr>
            <w:r>
              <w:rPr>
                <w:sz w:val="18"/>
              </w:rPr>
              <w:t>Acceptable</w:t>
            </w:r>
          </w:p>
        </w:tc>
      </w:tr>
    </w:tbl>
    <w:p/>
    <w:tbl>
      <w:tblPr>
        <w:tblStyle w:val="TableGrid"/>
        <w:tblW w:type="auto" w:w="0"/>
        <w:tblLook w:firstColumn="1" w:firstRow="1" w:lastColumn="0" w:lastRow="0" w:noHBand="0" w:noVBand="1" w:val="04A0"/>
      </w:tblPr>
      <w:tblGrid>
        <w:gridCol w:w="1681"/>
        <w:gridCol w:w="1681"/>
        <w:gridCol w:w="1681"/>
        <w:gridCol w:w="1681"/>
        <w:gridCol w:w="1681"/>
        <w:gridCol w:w="1681"/>
      </w:tblGrid>
      <w:tr>
        <w:tc>
          <w:tcPr>
            <w:tcW w:type="dxa" w:w="1928"/>
            <w:shd w:val="clear" w:color="auto" w:fill="00857C"/>
          </w:tcPr>
          <w:p>
            <w:pPr>
              <w:spacing w:before="60" w:after="60"/>
            </w:pPr>
            <w:r>
              <w:rPr>
                <w:b/>
                <w:color w:val="FFFFFF"/>
                <w:sz w:val="18"/>
              </w:rPr>
              <w:t>System</w:t>
            </w:r>
          </w:p>
        </w:tc>
        <w:tc>
          <w:tcPr>
            <w:tcW w:type="dxa" w:w="1247"/>
            <w:shd w:val="clear" w:color="auto" w:fill="00857C"/>
          </w:tcPr>
          <w:p>
            <w:pPr>
              <w:spacing w:before="60" w:after="60"/>
            </w:pPr>
            <w:r>
              <w:rPr>
                <w:b/>
                <w:color w:val="FFFFFF"/>
                <w:sz w:val="18"/>
              </w:rPr>
              <w:t>Current COC</w:t>
            </w:r>
          </w:p>
        </w:tc>
        <w:tc>
          <w:tcPr>
            <w:tcW w:type="dxa" w:w="1247"/>
            <w:shd w:val="clear" w:color="auto" w:fill="00857C"/>
          </w:tcPr>
          <w:p>
            <w:pPr>
              <w:spacing w:before="60" w:after="60"/>
            </w:pPr>
            <w:r>
              <w:rPr>
                <w:b/>
                <w:color w:val="FFFFFF"/>
                <w:sz w:val="18"/>
              </w:rPr>
              <w:t>Target COC</w:t>
            </w:r>
          </w:p>
        </w:tc>
        <w:tc>
          <w:tcPr>
            <w:tcW w:type="dxa" w:w="1247"/>
            <w:shd w:val="clear" w:color="auto" w:fill="00857C"/>
          </w:tcPr>
          <w:p>
            <w:pPr>
              <w:spacing w:before="60" w:after="60"/>
            </w:pPr>
            <w:r>
              <w:rPr>
                <w:b/>
                <w:color w:val="FFFFFF"/>
                <w:sz w:val="18"/>
              </w:rPr>
              <w:t>Decrease</w:t>
            </w:r>
          </w:p>
        </w:tc>
        <w:tc>
          <w:tcPr>
            <w:tcW w:type="dxa" w:w="2041"/>
            <w:shd w:val="clear" w:color="auto" w:fill="00857C"/>
          </w:tcPr>
          <w:p>
            <w:pPr>
              <w:spacing w:before="60" w:after="60"/>
            </w:pPr>
            <w:r>
              <w:rPr>
                <w:b/>
                <w:color w:val="FFFFFF"/>
                <w:sz w:val="18"/>
              </w:rPr>
              <w:t>Annual Water Loss</w:t>
            </w:r>
          </w:p>
        </w:tc>
        <w:tc>
          <w:tcPr>
            <w:tcW w:type="dxa" w:w="1928"/>
            <w:shd w:val="clear" w:color="auto" w:fill="00857C"/>
          </w:tcPr>
          <w:p>
            <w:pPr>
              <w:spacing w:before="60" w:after="60"/>
            </w:pPr>
            <w:r>
              <w:rPr>
                <w:b/>
                <w:color w:val="FFFFFF"/>
                <w:sz w:val="18"/>
              </w:rPr>
              <w:t>Estimated Cost</w:t>
            </w:r>
          </w:p>
        </w:tc>
      </w:tr>
      <w:tr>
        <w:tc>
          <w:tcPr>
            <w:tcW w:type="dxa" w:w="1928"/>
            <w:shd w:val="clear" w:color="auto" w:fill="FFFFFF"/>
          </w:tcPr>
          <w:p>
            <w:pPr>
              <w:spacing w:before="60" w:after="60"/>
            </w:pPr>
            <w:r>
              <w:rPr>
                <w:sz w:val="18"/>
              </w:rPr>
              <w:t>Cooling System</w:t>
            </w:r>
          </w:p>
        </w:tc>
        <w:tc>
          <w:tcPr>
            <w:tcW w:type="dxa" w:w="1247"/>
            <w:shd w:val="clear" w:color="auto" w:fill="FFFFFF"/>
          </w:tcPr>
          <w:p>
            <w:pPr>
              <w:spacing w:before="60" w:after="60"/>
            </w:pPr>
            <w:r>
              <w:rPr>
                <w:sz w:val="18"/>
              </w:rPr>
              <w:t>9.58</w:t>
            </w:r>
          </w:p>
        </w:tc>
        <w:tc>
          <w:tcPr>
            <w:tcW w:type="dxa" w:w="1247"/>
            <w:shd w:val="clear" w:color="auto" w:fill="FFFFFF"/>
          </w:tcPr>
          <w:p>
            <w:pPr>
              <w:spacing w:before="60" w:after="60"/>
            </w:pPr>
            <w:r>
              <w:rPr>
                <w:sz w:val="18"/>
              </w:rPr>
              <w:t>10.00</w:t>
            </w:r>
          </w:p>
        </w:tc>
        <w:tc>
          <w:tcPr>
            <w:tcW w:type="dxa" w:w="1247"/>
            <w:shd w:val="clear" w:color="auto" w:fill="FFFFFF"/>
          </w:tcPr>
          <w:p>
            <w:pPr>
              <w:spacing w:before="60" w:after="60"/>
            </w:pPr>
            <w:r>
              <w:rPr>
                <w:sz w:val="18"/>
              </w:rPr>
              <w:t>4.2%</w:t>
            </w:r>
          </w:p>
        </w:tc>
        <w:tc>
          <w:tcPr>
            <w:tcW w:type="dxa" w:w="2041"/>
            <w:shd w:val="clear" w:color="auto" w:fill="FFFFFF"/>
          </w:tcPr>
          <w:p>
            <w:pPr>
              <w:spacing w:before="60" w:after="60"/>
            </w:pPr>
            <w:r>
              <w:rPr>
                <w:sz w:val="18"/>
              </w:rPr>
              <w:t>24,299 gal/year</w:t>
            </w:r>
          </w:p>
        </w:tc>
        <w:tc>
          <w:tcPr>
            <w:tcW w:type="dxa" w:w="1928"/>
            <w:shd w:val="clear" w:color="auto" w:fill="FFFFFF"/>
          </w:tcPr>
          <w:p>
            <w:pPr>
              <w:spacing w:before="60" w:after="60"/>
            </w:pPr>
            <w:r>
              <w:rPr>
                <w:sz w:val="18"/>
              </w:rPr>
              <w:t>$1,214.97/year</w:t>
            </w:r>
          </w:p>
        </w:tc>
      </w:tr>
    </w:tbl>
    <w:p/>
    <w:p>
      <w:pPr>
        <w:spacing w:before="80" w:after="120"/>
        <w:jc w:val="left"/>
      </w:pPr>
      <w:r>
        <w:rPr>
          <w:b w:val="0"/>
          <w:i w:val="0"/>
          <w:sz w:val="20"/>
        </w:rPr>
        <w:t>Because current COC is more than 3% below the value-creation Target COC, estimated avoidable makeup water is 24,299 gallons per annum. At a makeup water cost of $5 per 100 gallons, the estimated annual savings opportunity is $1,214.97.</w:t>
      </w:r>
    </w:p>
    <w:p>
      <w:pPr>
        <w:spacing w:before="80" w:after="120"/>
        <w:jc w:val="left"/>
      </w:pPr>
      <w:r>
        <w:rPr>
          <w:b w:val="0"/>
          <w:i w:val="0"/>
          <w:sz w:val="20"/>
        </w:rPr>
        <w:t>The average conductivity is 957.6 µS/cm, which is below the recommended setpoint of 1000 µS/cm. Conductivity decreased from about 964.5 µS/cm at the start of the month to 950.7 µS/cm at the end. Water loss was observed from the COC gap, but last-day conductivity averaged 993.1 µS/cm and was maintained at 1000 µS/cm setpoint (+/-3%); continue monitoring blowdown and makeup stability.</w:t>
      </w:r>
    </w:p>
    <w:p>
      <w:pPr>
        <w:spacing w:before="200" w:after="60"/>
      </w:pPr>
      <w:r>
        <w:rPr>
          <w:b/>
          <w:color w:val="005F58"/>
          <w:sz w:val="26"/>
        </w:rPr>
        <w:t>Product Efficiency</w:t>
      </w:r>
    </w:p>
    <w:p>
      <w:pPr>
        <w:spacing w:before="60" w:after="100"/>
      </w:pPr>
      <w:r>
        <w:rPr>
          <w:b/>
          <w:sz w:val="20"/>
        </w:rPr>
        <w:t xml:space="preserve">Status: </w:t>
      </w:r>
      <w:r>
        <w:rPr>
          <w:b/>
          <w:color w:val="B8860B"/>
          <w:sz w:val="20"/>
        </w:rPr>
        <w:t>Acceptable</w:t>
      </w:r>
    </w:p>
    <w:p>
      <w:pPr>
        <w:spacing w:before="80" w:after="120"/>
        <w:jc w:val="left"/>
      </w:pPr>
      <w:r>
        <w:rPr>
          <w:b w:val="0"/>
          <w:i w:val="0"/>
          <w:sz w:val="20"/>
        </w:rPr>
        <w:t>Product efficiency needs continued monitoring because Traced Product averaged below the 100.00 ppm setpoint while increasing toward target later in the month. Verify phosphate, silica, and product residuals during the next service visit before changing pump stroke or feed logic.</w:t>
      </w:r>
    </w:p>
    <w:p>
      <w:pPr>
        <w:spacing w:before="200" w:after="60"/>
      </w:pPr>
      <w:r>
        <w:rPr>
          <w:b/>
          <w:color w:val="005F58"/>
          <w:sz w:val="26"/>
        </w:rPr>
        <w:t>Proactive System Support</w:t>
      </w:r>
    </w:p>
    <w:p>
      <w:pPr>
        <w:spacing w:before="80" w:after="120"/>
        <w:jc w:val="left"/>
      </w:pPr>
      <w:r>
        <w:rPr>
          <w:b w:val="0"/>
          <w:i w:val="0"/>
          <w:sz w:val="20"/>
        </w:rPr>
        <w:t>Recommended follow-up: Check FRC during the upcoming service visit to confirm oxidizing biocide residual. Measure dip-slide CFU during the upcoming service visit to confirm microbial control. Verify phosphate and silica residuals during the next service visit.</w:t>
      </w:r>
    </w:p>
    <w:p>
      <w:r>
        <w:br w:type="page"/>
      </w:r>
    </w:p>
    <w:p>
      <w:pPr>
        <w:pBdr>
          <w:bottom w:val="single" w:sz="8" w:space="4" w:color="00857C"/>
        </w:pBdr>
        <w:spacing w:before="280" w:after="80"/>
      </w:pPr>
      <w:r>
        <w:rPr>
          <w:b/>
          <w:color w:val="00857C"/>
          <w:sz w:val="32"/>
        </w:rPr>
        <w:t>Performance Summary</w:t>
      </w:r>
    </w:p>
    <w:p>
      <w:pPr>
        <w:spacing w:before="80" w:after="120"/>
        <w:jc w:val="left"/>
      </w:pPr>
      <w:r>
        <w:rPr>
          <w:b w:val="0"/>
          <w:i/>
          <w:color w:val="444444"/>
          <w:sz w:val="18"/>
        </w:rPr>
        <w:t>Controller Setpoints are used as control limits below. % In Range is calculated from the full reporting month telemetry.</w:t>
      </w:r>
    </w:p>
    <w:tbl>
      <w:tblPr>
        <w:tblStyle w:val="TableGrid"/>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814"/>
            <w:shd w:val="clear" w:color="auto" w:fill="00857C"/>
          </w:tcPr>
          <w:p>
            <w:pPr>
              <w:spacing w:before="60" w:after="60"/>
            </w:pPr>
            <w:r>
              <w:rPr>
                <w:b/>
                <w:color w:val="FFFFFF"/>
                <w:sz w:val="18"/>
              </w:rPr>
              <w:t>Parameter</w:t>
            </w:r>
          </w:p>
        </w:tc>
        <w:tc>
          <w:tcPr>
            <w:tcW w:type="dxa" w:w="1247"/>
            <w:shd w:val="clear" w:color="auto" w:fill="00857C"/>
          </w:tcPr>
          <w:p>
            <w:pPr>
              <w:spacing w:before="60" w:after="60"/>
            </w:pPr>
            <w:r>
              <w:rPr>
                <w:b/>
                <w:color w:val="FFFFFF"/>
                <w:sz w:val="18"/>
              </w:rPr>
              <w:t>Context Point</w:t>
            </w:r>
          </w:p>
        </w:tc>
        <w:tc>
          <w:tcPr>
            <w:tcW w:type="dxa" w:w="850"/>
            <w:shd w:val="clear" w:color="auto" w:fill="00857C"/>
          </w:tcPr>
          <w:p>
            <w:pPr>
              <w:spacing w:before="60" w:after="60"/>
            </w:pPr>
            <w:r>
              <w:rPr>
                <w:b/>
                <w:color w:val="FFFFFF"/>
                <w:sz w:val="18"/>
              </w:rPr>
              <w:t>Average</w:t>
            </w:r>
          </w:p>
        </w:tc>
        <w:tc>
          <w:tcPr>
            <w:tcW w:type="dxa" w:w="850"/>
            <w:shd w:val="clear" w:color="auto" w:fill="00857C"/>
          </w:tcPr>
          <w:p>
            <w:pPr>
              <w:spacing w:before="60" w:after="60"/>
            </w:pPr>
            <w:r>
              <w:rPr>
                <w:b/>
                <w:color w:val="FFFFFF"/>
                <w:sz w:val="18"/>
              </w:rPr>
              <w:t>Std Dev</w:t>
            </w:r>
          </w:p>
        </w:tc>
        <w:tc>
          <w:tcPr>
            <w:tcW w:type="dxa" w:w="794"/>
            <w:shd w:val="clear" w:color="auto" w:fill="00857C"/>
          </w:tcPr>
          <w:p>
            <w:pPr>
              <w:spacing w:before="60" w:after="60"/>
            </w:pPr>
            <w:r>
              <w:rPr>
                <w:b/>
                <w:color w:val="FFFFFF"/>
                <w:sz w:val="18"/>
              </w:rPr>
              <w:t>Min</w:t>
            </w:r>
          </w:p>
        </w:tc>
        <w:tc>
          <w:tcPr>
            <w:tcW w:type="dxa" w:w="794"/>
            <w:shd w:val="clear" w:color="auto" w:fill="00857C"/>
          </w:tcPr>
          <w:p>
            <w:pPr>
              <w:spacing w:before="60" w:after="60"/>
            </w:pPr>
            <w:r>
              <w:rPr>
                <w:b/>
                <w:color w:val="FFFFFF"/>
                <w:sz w:val="18"/>
              </w:rPr>
              <w:t>Max</w:t>
            </w:r>
          </w:p>
        </w:tc>
        <w:tc>
          <w:tcPr>
            <w:tcW w:type="dxa" w:w="964"/>
            <w:shd w:val="clear" w:color="auto" w:fill="00857C"/>
          </w:tcPr>
          <w:p>
            <w:pPr>
              <w:spacing w:before="60" w:after="60"/>
            </w:pPr>
            <w:r>
              <w:rPr>
                <w:b/>
                <w:color w:val="FFFFFF"/>
                <w:sz w:val="18"/>
              </w:rPr>
              <w:t>Lower Limit</w:t>
            </w:r>
          </w:p>
        </w:tc>
        <w:tc>
          <w:tcPr>
            <w:tcW w:type="dxa" w:w="964"/>
            <w:shd w:val="clear" w:color="auto" w:fill="00857C"/>
          </w:tcPr>
          <w:p>
            <w:pPr>
              <w:spacing w:before="60" w:after="60"/>
            </w:pPr>
            <w:r>
              <w:rPr>
                <w:b/>
                <w:color w:val="FFFFFF"/>
                <w:sz w:val="18"/>
              </w:rPr>
              <w:t>Upper Limit</w:t>
            </w:r>
          </w:p>
        </w:tc>
        <w:tc>
          <w:tcPr>
            <w:tcW w:type="dxa" w:w="1020"/>
            <w:shd w:val="clear" w:color="auto" w:fill="00857C"/>
          </w:tcPr>
          <w:p>
            <w:pPr>
              <w:spacing w:before="60" w:after="60"/>
            </w:pPr>
            <w:r>
              <w:rPr>
                <w:b/>
                <w:color w:val="FFFFFF"/>
                <w:sz w:val="18"/>
              </w:rPr>
              <w:t>% In Range</w:t>
            </w:r>
          </w:p>
        </w:tc>
        <w:tc>
          <w:tcPr>
            <w:tcW w:type="dxa" w:w="1247"/>
            <w:shd w:val="clear" w:color="auto" w:fill="00857C"/>
          </w:tcPr>
          <w:p>
            <w:pPr>
              <w:spacing w:before="60" w:after="60"/>
            </w:pPr>
            <w:r>
              <w:rPr>
                <w:b/>
                <w:color w:val="FFFFFF"/>
                <w:sz w:val="18"/>
              </w:rPr>
              <w:t>Status</w:t>
            </w:r>
          </w:p>
        </w:tc>
      </w:tr>
      <w:tr>
        <w:tc>
          <w:tcPr>
            <w:tcW w:type="dxa" w:w="1814"/>
            <w:shd w:val="clear" w:color="auto" w:fill="FFFFFF"/>
          </w:tcPr>
          <w:p>
            <w:pPr>
              <w:spacing w:before="60" w:after="60"/>
            </w:pPr>
            <w:r>
              <w:rPr>
                <w:sz w:val="18"/>
              </w:rPr>
              <w:t>Corrosion – MS (MPY)</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0.562</w:t>
            </w:r>
          </w:p>
        </w:tc>
        <w:tc>
          <w:tcPr>
            <w:tcW w:type="dxa" w:w="850"/>
            <w:shd w:val="clear" w:color="auto" w:fill="FFFFFF"/>
          </w:tcPr>
          <w:p>
            <w:pPr>
              <w:spacing w:before="60" w:after="60"/>
            </w:pPr>
            <w:r>
              <w:rPr>
                <w:sz w:val="18"/>
              </w:rPr>
              <w:t>0.151</w:t>
            </w:r>
          </w:p>
        </w:tc>
        <w:tc>
          <w:tcPr>
            <w:tcW w:type="dxa" w:w="794"/>
            <w:shd w:val="clear" w:color="auto" w:fill="FFFFFF"/>
          </w:tcPr>
          <w:p>
            <w:pPr>
              <w:spacing w:before="60" w:after="60"/>
            </w:pPr>
            <w:r>
              <w:rPr>
                <w:sz w:val="18"/>
              </w:rPr>
              <w:t>0.100</w:t>
            </w:r>
          </w:p>
        </w:tc>
        <w:tc>
          <w:tcPr>
            <w:tcW w:type="dxa" w:w="794"/>
            <w:shd w:val="clear" w:color="auto" w:fill="FFFFFF"/>
          </w:tcPr>
          <w:p>
            <w:pPr>
              <w:spacing w:before="60" w:after="60"/>
            </w:pPr>
            <w:r>
              <w:rPr>
                <w:sz w:val="18"/>
              </w:rPr>
              <w:t>1.075</w:t>
            </w:r>
          </w:p>
        </w:tc>
        <w:tc>
          <w:tcPr>
            <w:tcW w:type="dxa" w:w="964"/>
            <w:shd w:val="clear" w:color="auto" w:fill="FFFFFF"/>
          </w:tcPr>
          <w:p>
            <w:pPr>
              <w:spacing w:before="60" w:after="60"/>
            </w:pPr>
            <w:r>
              <w:rPr>
                <w:sz w:val="18"/>
              </w:rPr>
              <w:t>0.00</w:t>
            </w:r>
          </w:p>
        </w:tc>
        <w:tc>
          <w:tcPr>
            <w:tcW w:type="dxa" w:w="964"/>
            <w:shd w:val="clear" w:color="auto" w:fill="FFFFFF"/>
          </w:tcPr>
          <w:p>
            <w:pPr>
              <w:spacing w:before="60" w:after="60"/>
            </w:pPr>
            <w:r>
              <w:rPr>
                <w:sz w:val="18"/>
              </w:rPr>
              <w:t>3.00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 Excellent</w:t>
            </w:r>
          </w:p>
        </w:tc>
      </w:tr>
      <w:tr>
        <w:tc>
          <w:tcPr>
            <w:tcW w:type="dxa" w:w="1814"/>
            <w:shd w:val="clear" w:color="auto" w:fill="F2F8F7"/>
          </w:tcPr>
          <w:p>
            <w:pPr>
              <w:spacing w:before="60" w:after="60"/>
            </w:pPr>
            <w:r>
              <w:rPr>
                <w:sz w:val="18"/>
              </w:rPr>
              <w:t>Corrosion – Cu (MPY)</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0.451</w:t>
            </w:r>
          </w:p>
        </w:tc>
        <w:tc>
          <w:tcPr>
            <w:tcW w:type="dxa" w:w="850"/>
            <w:shd w:val="clear" w:color="auto" w:fill="F2F8F7"/>
          </w:tcPr>
          <w:p>
            <w:pPr>
              <w:spacing w:before="60" w:after="60"/>
            </w:pPr>
            <w:r>
              <w:rPr>
                <w:sz w:val="18"/>
              </w:rPr>
              <w:t>0.450</w:t>
            </w:r>
          </w:p>
        </w:tc>
        <w:tc>
          <w:tcPr>
            <w:tcW w:type="dxa" w:w="794"/>
            <w:shd w:val="clear" w:color="auto" w:fill="F2F8F7"/>
          </w:tcPr>
          <w:p>
            <w:pPr>
              <w:spacing w:before="60" w:after="60"/>
            </w:pPr>
            <w:r>
              <w:rPr>
                <w:sz w:val="18"/>
              </w:rPr>
              <w:t>0.051</w:t>
            </w:r>
          </w:p>
        </w:tc>
        <w:tc>
          <w:tcPr>
            <w:tcW w:type="dxa" w:w="794"/>
            <w:shd w:val="clear" w:color="auto" w:fill="F2F8F7"/>
          </w:tcPr>
          <w:p>
            <w:pPr>
              <w:spacing w:before="60" w:after="60"/>
            </w:pPr>
            <w:r>
              <w:rPr>
                <w:sz w:val="18"/>
              </w:rPr>
              <w:t>2.339</w:t>
            </w:r>
          </w:p>
        </w:tc>
        <w:tc>
          <w:tcPr>
            <w:tcW w:type="dxa" w:w="964"/>
            <w:shd w:val="clear" w:color="auto" w:fill="F2F8F7"/>
          </w:tcPr>
          <w:p>
            <w:pPr>
              <w:spacing w:before="60" w:after="60"/>
            </w:pPr>
            <w:r>
              <w:rPr>
                <w:sz w:val="18"/>
              </w:rPr>
              <w:t>0.00</w:t>
            </w:r>
          </w:p>
        </w:tc>
        <w:tc>
          <w:tcPr>
            <w:tcW w:type="dxa" w:w="964"/>
            <w:shd w:val="clear" w:color="auto" w:fill="F2F8F7"/>
          </w:tcPr>
          <w:p>
            <w:pPr>
              <w:spacing w:before="60" w:after="60"/>
            </w:pPr>
            <w:r>
              <w:rPr>
                <w:sz w:val="18"/>
              </w:rPr>
              <w:t>0.50</w:t>
            </w:r>
          </w:p>
        </w:tc>
        <w:tc>
          <w:tcPr>
            <w:tcW w:type="dxa" w:w="1020"/>
            <w:shd w:val="clear" w:color="auto" w:fill="F2F8F7"/>
          </w:tcPr>
          <w:p>
            <w:pPr>
              <w:spacing w:before="60" w:after="60"/>
            </w:pPr>
            <w:r>
              <w:rPr>
                <w:sz w:val="18"/>
              </w:rPr>
              <w:t>68.9%</w:t>
            </w:r>
          </w:p>
        </w:tc>
        <w:tc>
          <w:tcPr>
            <w:tcW w:type="dxa" w:w="1247"/>
            <w:shd w:val="clear" w:color="auto" w:fill="F2F8F7"/>
          </w:tcPr>
          <w:p>
            <w:pPr>
              <w:spacing w:before="60" w:after="60"/>
            </w:pPr>
            <w:r>
              <w:rPr>
                <w:sz w:val="18"/>
              </w:rPr>
              <w:t>✓ Excellent</w:t>
            </w:r>
          </w:p>
        </w:tc>
      </w:tr>
      <w:tr>
        <w:tc>
          <w:tcPr>
            <w:tcW w:type="dxa" w:w="1814"/>
            <w:shd w:val="clear" w:color="auto" w:fill="FFFFFF"/>
          </w:tcPr>
          <w:p>
            <w:pPr>
              <w:spacing w:before="60" w:after="60"/>
            </w:pPr>
            <w:r>
              <w:rPr>
                <w:sz w:val="18"/>
              </w:rPr>
              <w:t>Traced Product (ppm)</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65.575</w:t>
            </w:r>
          </w:p>
        </w:tc>
        <w:tc>
          <w:tcPr>
            <w:tcW w:type="dxa" w:w="850"/>
            <w:shd w:val="clear" w:color="auto" w:fill="FFFFFF"/>
          </w:tcPr>
          <w:p>
            <w:pPr>
              <w:spacing w:before="60" w:after="60"/>
            </w:pPr>
            <w:r>
              <w:rPr>
                <w:sz w:val="18"/>
              </w:rPr>
              <w:t>37.820</w:t>
            </w:r>
          </w:p>
        </w:tc>
        <w:tc>
          <w:tcPr>
            <w:tcW w:type="dxa" w:w="794"/>
            <w:shd w:val="clear" w:color="auto" w:fill="FFFFFF"/>
          </w:tcPr>
          <w:p>
            <w:pPr>
              <w:spacing w:before="60" w:after="60"/>
            </w:pPr>
            <w:r>
              <w:rPr>
                <w:sz w:val="18"/>
              </w:rPr>
              <w:t>10.195</w:t>
            </w:r>
          </w:p>
        </w:tc>
        <w:tc>
          <w:tcPr>
            <w:tcW w:type="dxa" w:w="794"/>
            <w:shd w:val="clear" w:color="auto" w:fill="FFFFFF"/>
          </w:tcPr>
          <w:p>
            <w:pPr>
              <w:spacing w:before="60" w:after="60"/>
            </w:pPr>
            <w:r>
              <w:rPr>
                <w:sz w:val="18"/>
              </w:rPr>
              <w:t>121.620</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 Acceptable</w:t>
            </w:r>
          </w:p>
        </w:tc>
      </w:tr>
      <w:tr>
        <w:tc>
          <w:tcPr>
            <w:tcW w:type="dxa" w:w="1814"/>
            <w:shd w:val="clear" w:color="auto" w:fill="F2F8F7"/>
          </w:tcPr>
          <w:p>
            <w:pPr>
              <w:spacing w:before="60" w:after="60"/>
            </w:pPr>
            <w:r>
              <w:rPr>
                <w:sz w:val="18"/>
              </w:rPr>
              <w:t>Conductivity (µS/cm)</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957.585</w:t>
            </w:r>
          </w:p>
        </w:tc>
        <w:tc>
          <w:tcPr>
            <w:tcW w:type="dxa" w:w="850"/>
            <w:shd w:val="clear" w:color="auto" w:fill="F2F8F7"/>
          </w:tcPr>
          <w:p>
            <w:pPr>
              <w:spacing w:before="60" w:after="60"/>
            </w:pPr>
            <w:r>
              <w:rPr>
                <w:sz w:val="18"/>
              </w:rPr>
              <w:t>50.324</w:t>
            </w:r>
          </w:p>
        </w:tc>
        <w:tc>
          <w:tcPr>
            <w:tcW w:type="dxa" w:w="794"/>
            <w:shd w:val="clear" w:color="auto" w:fill="F2F8F7"/>
          </w:tcPr>
          <w:p>
            <w:pPr>
              <w:spacing w:before="60" w:after="60"/>
            </w:pPr>
            <w:r>
              <w:rPr>
                <w:sz w:val="18"/>
              </w:rPr>
              <w:t>776.147</w:t>
            </w:r>
          </w:p>
        </w:tc>
        <w:tc>
          <w:tcPr>
            <w:tcW w:type="dxa" w:w="794"/>
            <w:shd w:val="clear" w:color="auto" w:fill="F2F8F7"/>
          </w:tcPr>
          <w:p>
            <w:pPr>
              <w:spacing w:before="60" w:after="60"/>
            </w:pPr>
            <w:r>
              <w:rPr>
                <w:sz w:val="18"/>
              </w:rPr>
              <w:t>1054.077</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 Acceptable</w:t>
            </w:r>
          </w:p>
        </w:tc>
      </w:tr>
      <w:tr>
        <w:tc>
          <w:tcPr>
            <w:tcW w:type="dxa" w:w="1814"/>
            <w:shd w:val="clear" w:color="auto" w:fill="FFFFFF"/>
          </w:tcPr>
          <w:p>
            <w:pPr>
              <w:spacing w:before="60" w:after="60"/>
            </w:pPr>
            <w:r>
              <w:rPr>
                <w:sz w:val="18"/>
              </w:rPr>
              <w:t>pH</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9.969</w:t>
            </w:r>
          </w:p>
        </w:tc>
        <w:tc>
          <w:tcPr>
            <w:tcW w:type="dxa" w:w="850"/>
            <w:shd w:val="clear" w:color="auto" w:fill="FFFFFF"/>
          </w:tcPr>
          <w:p>
            <w:pPr>
              <w:spacing w:before="60" w:after="60"/>
            </w:pPr>
            <w:r>
              <w:rPr>
                <w:sz w:val="18"/>
              </w:rPr>
              <w:t>0.092</w:t>
            </w:r>
          </w:p>
        </w:tc>
        <w:tc>
          <w:tcPr>
            <w:tcW w:type="dxa" w:w="794"/>
            <w:shd w:val="clear" w:color="auto" w:fill="FFFFFF"/>
          </w:tcPr>
          <w:p>
            <w:pPr>
              <w:spacing w:before="60" w:after="60"/>
            </w:pPr>
            <w:r>
              <w:rPr>
                <w:sz w:val="18"/>
              </w:rPr>
              <w:t>9.075</w:t>
            </w:r>
          </w:p>
        </w:tc>
        <w:tc>
          <w:tcPr>
            <w:tcW w:type="dxa" w:w="794"/>
            <w:shd w:val="clear" w:color="auto" w:fill="FFFFFF"/>
          </w:tcPr>
          <w:p>
            <w:pPr>
              <w:spacing w:before="60" w:after="60"/>
            </w:pPr>
            <w:r>
              <w:rPr>
                <w:sz w:val="18"/>
              </w:rPr>
              <w:t>10.244</w:t>
            </w:r>
          </w:p>
        </w:tc>
        <w:tc>
          <w:tcPr>
            <w:tcW w:type="dxa" w:w="964"/>
            <w:shd w:val="clear" w:color="auto" w:fill="FFFFFF"/>
          </w:tcPr>
          <w:p>
            <w:pPr>
              <w:spacing w:before="60" w:after="60"/>
            </w:pPr>
            <w:r>
              <w:rPr>
                <w:sz w:val="18"/>
              </w:rPr>
              <w:t>7.50</w:t>
            </w:r>
          </w:p>
        </w:tc>
        <w:tc>
          <w:tcPr>
            <w:tcW w:type="dxa" w:w="964"/>
            <w:shd w:val="clear" w:color="auto" w:fill="FFFFFF"/>
          </w:tcPr>
          <w:p>
            <w:pPr>
              <w:spacing w:before="60" w:after="60"/>
            </w:pPr>
            <w:r>
              <w:rPr>
                <w:sz w:val="18"/>
              </w:rPr>
              <w:t>10.00</w:t>
            </w:r>
          </w:p>
        </w:tc>
        <w:tc>
          <w:tcPr>
            <w:tcW w:type="dxa" w:w="1020"/>
            <w:shd w:val="clear" w:color="auto" w:fill="FFFFFF"/>
          </w:tcPr>
          <w:p>
            <w:pPr>
              <w:spacing w:before="60" w:after="60"/>
            </w:pPr>
            <w:r>
              <w:rPr>
                <w:sz w:val="18"/>
              </w:rPr>
              <w:t>62.6%</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ORP (mV)</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539.114</w:t>
            </w:r>
          </w:p>
        </w:tc>
        <w:tc>
          <w:tcPr>
            <w:tcW w:type="dxa" w:w="850"/>
            <w:shd w:val="clear" w:color="auto" w:fill="F2F8F7"/>
          </w:tcPr>
          <w:p>
            <w:pPr>
              <w:spacing w:before="60" w:after="60"/>
            </w:pPr>
            <w:r>
              <w:rPr>
                <w:sz w:val="18"/>
              </w:rPr>
              <w:t>29.202</w:t>
            </w:r>
          </w:p>
        </w:tc>
        <w:tc>
          <w:tcPr>
            <w:tcW w:type="dxa" w:w="794"/>
            <w:shd w:val="clear" w:color="auto" w:fill="F2F8F7"/>
          </w:tcPr>
          <w:p>
            <w:pPr>
              <w:spacing w:before="60" w:after="60"/>
            </w:pPr>
            <w:r>
              <w:rPr>
                <w:sz w:val="18"/>
              </w:rPr>
              <w:t>493.796</w:t>
            </w:r>
          </w:p>
        </w:tc>
        <w:tc>
          <w:tcPr>
            <w:tcW w:type="dxa" w:w="794"/>
            <w:shd w:val="clear" w:color="auto" w:fill="F2F8F7"/>
          </w:tcPr>
          <w:p>
            <w:pPr>
              <w:spacing w:before="60" w:after="60"/>
            </w:pPr>
            <w:r>
              <w:rPr>
                <w:sz w:val="18"/>
              </w:rPr>
              <w:t>668.612</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See chart</w:t>
            </w:r>
          </w:p>
        </w:tc>
      </w:tr>
      <w:tr>
        <w:tc>
          <w:tcPr>
            <w:tcW w:type="dxa" w:w="1814"/>
            <w:shd w:val="clear" w:color="auto" w:fill="FFFFFF"/>
          </w:tcPr>
          <w:p>
            <w:pPr>
              <w:spacing w:before="60" w:after="60"/>
            </w:pPr>
            <w:r>
              <w:rPr>
                <w:sz w:val="18"/>
              </w:rPr>
              <w:t>Turbidity (NTU)</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10.429</w:t>
            </w:r>
          </w:p>
        </w:tc>
        <w:tc>
          <w:tcPr>
            <w:tcW w:type="dxa" w:w="850"/>
            <w:shd w:val="clear" w:color="auto" w:fill="FFFFFF"/>
          </w:tcPr>
          <w:p>
            <w:pPr>
              <w:spacing w:before="60" w:after="60"/>
            </w:pPr>
            <w:r>
              <w:rPr>
                <w:sz w:val="18"/>
              </w:rPr>
              <w:t>2.991</w:t>
            </w:r>
          </w:p>
        </w:tc>
        <w:tc>
          <w:tcPr>
            <w:tcW w:type="dxa" w:w="794"/>
            <w:shd w:val="clear" w:color="auto" w:fill="FFFFFF"/>
          </w:tcPr>
          <w:p>
            <w:pPr>
              <w:spacing w:before="60" w:after="60"/>
            </w:pPr>
            <w:r>
              <w:rPr>
                <w:sz w:val="18"/>
              </w:rPr>
              <w:t>3.202</w:t>
            </w:r>
          </w:p>
        </w:tc>
        <w:tc>
          <w:tcPr>
            <w:tcW w:type="dxa" w:w="794"/>
            <w:shd w:val="clear" w:color="auto" w:fill="FFFFFF"/>
          </w:tcPr>
          <w:p>
            <w:pPr>
              <w:spacing w:before="60" w:after="60"/>
            </w:pPr>
            <w:r>
              <w:rPr>
                <w:sz w:val="18"/>
              </w:rPr>
              <w:t>19.520</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75.0</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Cell Fouling (%)</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9.166</w:t>
            </w:r>
          </w:p>
        </w:tc>
        <w:tc>
          <w:tcPr>
            <w:tcW w:type="dxa" w:w="850"/>
            <w:shd w:val="clear" w:color="auto" w:fill="F2F8F7"/>
          </w:tcPr>
          <w:p>
            <w:pPr>
              <w:spacing w:before="60" w:after="60"/>
            </w:pPr>
            <w:r>
              <w:rPr>
                <w:sz w:val="18"/>
              </w:rPr>
              <w:t>7.177</w:t>
            </w:r>
          </w:p>
        </w:tc>
        <w:tc>
          <w:tcPr>
            <w:tcW w:type="dxa" w:w="794"/>
            <w:shd w:val="clear" w:color="auto" w:fill="F2F8F7"/>
          </w:tcPr>
          <w:p>
            <w:pPr>
              <w:spacing w:before="60" w:after="60"/>
            </w:pPr>
            <w:r>
              <w:rPr>
                <w:sz w:val="18"/>
              </w:rPr>
              <w:t>0.000</w:t>
            </w:r>
          </w:p>
        </w:tc>
        <w:tc>
          <w:tcPr>
            <w:tcW w:type="dxa" w:w="794"/>
            <w:shd w:val="clear" w:color="auto" w:fill="F2F8F7"/>
          </w:tcPr>
          <w:p>
            <w:pPr>
              <w:spacing w:before="60" w:after="60"/>
            </w:pPr>
            <w:r>
              <w:rPr>
                <w:sz w:val="18"/>
              </w:rPr>
              <w:t>30.391</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30.0</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ℹ Info</w:t>
            </w:r>
          </w:p>
        </w:tc>
      </w:tr>
    </w:tbl>
    <w:p/>
    <w:p>
      <w:r>
        <w:br w:type="page"/>
      </w:r>
    </w:p>
    <w:p>
      <w:pPr>
        <w:pBdr>
          <w:bottom w:val="single" w:sz="8" w:space="4" w:color="00857C"/>
        </w:pBdr>
        <w:spacing w:before="280" w:after="80"/>
      </w:pPr>
      <w:r>
        <w:rPr>
          <w:b/>
          <w:color w:val="00857C"/>
          <w:sz w:val="32"/>
        </w:rPr>
        <w:t>Charts and Comments</w:t>
      </w:r>
    </w:p>
    <w:p>
      <w:pPr>
        <w:spacing w:before="200" w:after="60"/>
      </w:pPr>
      <w:r>
        <w:rPr>
          <w:b/>
          <w:color w:val="005F58"/>
          <w:sz w:val="26"/>
        </w:rPr>
        <w:t>Corrosion Rate</w:t>
      </w:r>
    </w:p>
    <w:p>
      <w:pPr>
        <w:jc w:val="center"/>
      </w:pPr>
      <w:r>
        <w:drawing>
          <wp:inline xmlns:a="http://schemas.openxmlformats.org/drawingml/2006/main" xmlns:pic="http://schemas.openxmlformats.org/drawingml/2006/picture">
            <wp:extent cx="5486400" cy="2582656"/>
            <wp:docPr id="1" name="Picture 1"/>
            <wp:cNvGraphicFramePr>
              <a:graphicFrameLocks noChangeAspect="1"/>
            </wp:cNvGraphicFramePr>
            <a:graphic>
              <a:graphicData uri="http://schemas.openxmlformats.org/drawingml/2006/picture">
                <pic:pic>
                  <pic:nvPicPr>
                    <pic:cNvPr id="0" name="synthomer_chester_sc_us_august_2026_corrosion.png"/>
                    <pic:cNvPicPr/>
                  </pic:nvPicPr>
                  <pic:blipFill>
                    <a:blip r:embed="rId11"/>
                    <a:stretch>
                      <a:fillRect/>
                    </a:stretch>
                  </pic:blipFill>
                  <pic:spPr>
                    <a:xfrm>
                      <a:off x="0" y="0"/>
                      <a:ext cx="5486400" cy="2582656"/>
                    </a:xfrm>
                    <a:prstGeom prst="rect"/>
                  </pic:spPr>
                </pic:pic>
              </a:graphicData>
            </a:graphic>
          </wp:inline>
        </w:drawing>
      </w:r>
    </w:p>
    <w:p>
      <w:pPr>
        <w:spacing w:after="120"/>
        <w:jc w:val="center"/>
      </w:pPr>
      <w:r>
        <w:rPr>
          <w:i/>
          <w:color w:val="444444"/>
          <w:sz w:val="17"/>
        </w:rPr>
        <w:t>Figure 1: Corrosion Rate — August 2026</w:t>
      </w:r>
    </w:p>
    <w:p>
      <w:pPr>
        <w:spacing w:before="40" w:after="200"/>
      </w:pPr>
      <w:r>
        <w:rPr>
          <w:b/>
          <w:i/>
          <w:color w:val="333333"/>
          <w:sz w:val="19"/>
        </w:rPr>
        <w:t xml:space="preserve">Comment: </w:t>
      </w:r>
      <w:r>
        <w:rPr>
          <w:i/>
          <w:color w:val="333333"/>
          <w:sz w:val="19"/>
        </w:rPr>
        <w:t>During the reporting period, the system remained under good control. The mild steel and copper corrosion rates averaged 0.56 mpy and 0.45 mpy, respectively, both of which are well within the recommended limits of &lt;5 mpy and &lt;0.5 mpy.</w:t>
      </w:r>
    </w:p>
    <w:p>
      <w:pPr>
        <w:spacing w:before="200" w:after="60"/>
      </w:pPr>
      <w:r>
        <w:rPr>
          <w:b/>
          <w:color w:val="005F58"/>
          <w:sz w:val="26"/>
        </w:rPr>
        <w:t>Traced Product Control Trend</w:t>
      </w:r>
    </w:p>
    <w:p>
      <w:pPr>
        <w:jc w:val="center"/>
      </w:pPr>
      <w:r>
        <w:drawing>
          <wp:inline xmlns:a="http://schemas.openxmlformats.org/drawingml/2006/main" xmlns:pic="http://schemas.openxmlformats.org/drawingml/2006/picture">
            <wp:extent cx="5486400" cy="2578283"/>
            <wp:docPr id="2" name="Picture 2"/>
            <wp:cNvGraphicFramePr>
              <a:graphicFrameLocks noChangeAspect="1"/>
            </wp:cNvGraphicFramePr>
            <a:graphic>
              <a:graphicData uri="http://schemas.openxmlformats.org/drawingml/2006/picture">
                <pic:pic>
                  <pic:nvPicPr>
                    <pic:cNvPr id="0" name="synthomer_chester_sc_us_august_2026_traced_product.png"/>
                    <pic:cNvPicPr/>
                  </pic:nvPicPr>
                  <pic:blipFill>
                    <a:blip r:embed="rId12"/>
                    <a:stretch>
                      <a:fillRect/>
                    </a:stretch>
                  </pic:blipFill>
                  <pic:spPr>
                    <a:xfrm>
                      <a:off x="0" y="0"/>
                      <a:ext cx="5486400" cy="2578283"/>
                    </a:xfrm>
                    <a:prstGeom prst="rect"/>
                  </pic:spPr>
                </pic:pic>
              </a:graphicData>
            </a:graphic>
          </wp:inline>
        </w:drawing>
      </w:r>
    </w:p>
    <w:p>
      <w:pPr>
        <w:spacing w:after="120"/>
        <w:jc w:val="center"/>
      </w:pPr>
      <w:r>
        <w:rPr>
          <w:i/>
          <w:color w:val="444444"/>
          <w:sz w:val="17"/>
        </w:rPr>
        <w:t>Figure 2: Traced Product — August 2026</w:t>
      </w:r>
    </w:p>
    <w:p>
      <w:pPr>
        <w:spacing w:before="40" w:after="200"/>
      </w:pPr>
      <w:r>
        <w:rPr>
          <w:b/>
          <w:i/>
          <w:color w:val="333333"/>
          <w:sz w:val="19"/>
        </w:rPr>
        <w:t xml:space="preserve">Comment: </w:t>
      </w:r>
      <w:r>
        <w:rPr>
          <w:i/>
          <w:color w:val="333333"/>
          <w:sz w:val="19"/>
        </w:rPr>
        <w:t>The Traced Product level was maintained below the setpoint until 10 August 2026. Later, the Traced Product level was well maintained at the setpoint of 100.0 ppm. The low Traced Product during the first 10 days can be due to lack of inventory, dosing pump lost prime, or a leak in the pump discharge line.</w:t>
      </w:r>
    </w:p>
    <w:p>
      <w:pPr>
        <w:spacing w:before="200" w:after="60"/>
      </w:pPr>
      <w:r>
        <w:rPr>
          <w:b/>
          <w:color w:val="005F58"/>
          <w:sz w:val="26"/>
        </w:rPr>
        <w:t>ORP vs Copper Corrosion Rate</w:t>
      </w:r>
    </w:p>
    <w:p>
      <w:pPr>
        <w:jc w:val="center"/>
      </w:pPr>
      <w:r>
        <w:drawing>
          <wp:inline xmlns:a="http://schemas.openxmlformats.org/drawingml/2006/main" xmlns:pic="http://schemas.openxmlformats.org/drawingml/2006/picture">
            <wp:extent cx="5486400" cy="2584849"/>
            <wp:docPr id="3" name="Picture 3"/>
            <wp:cNvGraphicFramePr>
              <a:graphicFrameLocks noChangeAspect="1"/>
            </wp:cNvGraphicFramePr>
            <a:graphic>
              <a:graphicData uri="http://schemas.openxmlformats.org/drawingml/2006/picture">
                <pic:pic>
                  <pic:nvPicPr>
                    <pic:cNvPr id="0" name="synthomer_chester_sc_us_august_2026_orp_corrosion.png"/>
                    <pic:cNvPicPr/>
                  </pic:nvPicPr>
                  <pic:blipFill>
                    <a:blip r:embed="rId13"/>
                    <a:stretch>
                      <a:fillRect/>
                    </a:stretch>
                  </pic:blipFill>
                  <pic:spPr>
                    <a:xfrm>
                      <a:off x="0" y="0"/>
                      <a:ext cx="5486400" cy="2584849"/>
                    </a:xfrm>
                    <a:prstGeom prst="rect"/>
                  </pic:spPr>
                </pic:pic>
              </a:graphicData>
            </a:graphic>
          </wp:inline>
        </w:drawing>
      </w:r>
    </w:p>
    <w:p>
      <w:pPr>
        <w:spacing w:after="120"/>
        <w:jc w:val="center"/>
      </w:pPr>
      <w:r>
        <w:rPr>
          <w:i/>
          <w:color w:val="444444"/>
          <w:sz w:val="17"/>
        </w:rPr>
        <w:t>Figure 3: ORP vs Copper Corrosion Rate — August 2026</w:t>
      </w:r>
    </w:p>
    <w:p>
      <w:pPr>
        <w:spacing w:before="40" w:after="200"/>
      </w:pPr>
      <w:r>
        <w:rPr>
          <w:b/>
          <w:i/>
          <w:color w:val="333333"/>
          <w:sz w:val="19"/>
        </w:rPr>
        <w:t xml:space="preserve">Comment: </w:t>
      </w:r>
      <w:r>
        <w:rPr>
          <w:i/>
          <w:color w:val="333333"/>
          <w:sz w:val="19"/>
        </w:rPr>
        <w:t>ORP did not show more than 50 mV spikes at least three times during the week from 15 August 2026 to 21 August 2026; no slug dosage of biocide is observed during this period. This could be due to lack of inventory, dosing pump lost prime, or a leak in the pump discharge line.</w:t>
      </w:r>
      <w:r>
        <w:br/>
      </w:r>
      <w:r>
        <w:rPr>
          <w:i/>
          <w:color w:val="333333"/>
          <w:sz w:val="19"/>
        </w:rPr>
        <w:t>Copper corrosion was above the recommended limit of 0.5 mpy from 01 August 2026 to 06 August 2026.</w:t>
      </w:r>
      <w:r>
        <w:br/>
      </w:r>
      <w:r>
        <w:rPr>
          <w:i/>
          <w:color w:val="333333"/>
          <w:sz w:val="19"/>
        </w:rPr>
        <w:t>Traced Product was low during the high copper corrosion period, indicating possible lack of inventory.</w:t>
      </w:r>
    </w:p>
    <w:p>
      <w:pPr>
        <w:spacing w:before="200" w:after="60"/>
      </w:pPr>
      <w:r>
        <w:rPr>
          <w:b/>
          <w:color w:val="005F58"/>
          <w:sz w:val="26"/>
        </w:rPr>
        <w:t>Electrode Conductivity</w:t>
      </w:r>
    </w:p>
    <w:p>
      <w:pPr>
        <w:jc w:val="center"/>
      </w:pPr>
      <w:r>
        <w:drawing>
          <wp:inline xmlns:a="http://schemas.openxmlformats.org/drawingml/2006/main" xmlns:pic="http://schemas.openxmlformats.org/drawingml/2006/picture">
            <wp:extent cx="5486400" cy="2580468"/>
            <wp:docPr id="4" name="Picture 4"/>
            <wp:cNvGraphicFramePr>
              <a:graphicFrameLocks noChangeAspect="1"/>
            </wp:cNvGraphicFramePr>
            <a:graphic>
              <a:graphicData uri="http://schemas.openxmlformats.org/drawingml/2006/picture">
                <pic:pic>
                  <pic:nvPicPr>
                    <pic:cNvPr id="0" name="synthomer_chester_sc_us_august_2026_conductivity.png"/>
                    <pic:cNvPicPr/>
                  </pic:nvPicPr>
                  <pic:blipFill>
                    <a:blip r:embed="rId14"/>
                    <a:stretch>
                      <a:fillRect/>
                    </a:stretch>
                  </pic:blipFill>
                  <pic:spPr>
                    <a:xfrm>
                      <a:off x="0" y="0"/>
                      <a:ext cx="5486400" cy="2580468"/>
                    </a:xfrm>
                    <a:prstGeom prst="rect"/>
                  </pic:spPr>
                </pic:pic>
              </a:graphicData>
            </a:graphic>
          </wp:inline>
        </w:drawing>
      </w:r>
    </w:p>
    <w:p>
      <w:pPr>
        <w:spacing w:after="120"/>
        <w:jc w:val="center"/>
      </w:pPr>
      <w:r>
        <w:rPr>
          <w:i/>
          <w:color w:val="444444"/>
          <w:sz w:val="17"/>
        </w:rPr>
        <w:t>Figure 4: Electrode Conductivity — August 2026</w:t>
      </w:r>
    </w:p>
    <w:p>
      <w:pPr>
        <w:spacing w:before="40" w:after="200"/>
      </w:pPr>
      <w:r>
        <w:rPr>
          <w:b/>
          <w:i/>
          <w:color w:val="333333"/>
          <w:sz w:val="19"/>
        </w:rPr>
        <w:t xml:space="preserve">Comment: </w:t>
      </w:r>
      <w:r>
        <w:rPr>
          <w:i/>
          <w:color w:val="333333"/>
          <w:sz w:val="19"/>
        </w:rPr>
        <w:t>The average conductivity is 957.6 µS/cm, which is below the recommended setpoint of 1000 µS/cm. Conductivity decreased from about 964.5 µS/cm at the start of the month to 950.7 µS/cm at the end. Water loss was observed from the COC gap, but last-day conductivity averaged 993.1 µS/cm and was maintained at 1000 µS/cm setpoint (+/-3%); continue monitoring blowdown and makeup stability.</w:t>
      </w:r>
    </w:p>
    <w:p>
      <w:r>
        <w:br w:type="page"/>
      </w:r>
    </w:p>
    <w:p>
      <w:pPr>
        <w:pBdr>
          <w:bottom w:val="single" w:sz="8" w:space="4" w:color="00857C"/>
        </w:pBdr>
        <w:spacing w:before="280" w:after="80"/>
      </w:pPr>
      <w:r>
        <w:rPr>
          <w:b/>
          <w:color w:val="00857C"/>
          <w:sz w:val="32"/>
        </w:rPr>
        <w:t>Closing Summary</w:t>
      </w:r>
    </w:p>
    <w:p>
      <w:pPr>
        <w:spacing w:before="80" w:after="120"/>
        <w:jc w:val="left"/>
      </w:pPr>
      <w:r>
        <w:rPr>
          <w:b w:val="0"/>
          <w:i w:val="0"/>
          <w:sz w:val="20"/>
        </w:rPr>
        <w:t>Overall August performance for Synthomer showed Excellent corrosion control and Acceptable microbial and water-efficiency performance. The main follow-up is to confirm product residual recovery toward setpoint and validate field residuals because SCC did not provide lower and upper control limits for percent-in-range calculation. Continued review of conductivity, FRC, dip-slide CFU, phosphate, and silica residuals is recommended during the next service visit.</w:t>
      </w:r>
    </w:p>
    <w:sectPr w:rsidR="00FC693F" w:rsidRPr="0006063C" w:rsidSect="00034616">
      <w:headerReference w:type="default" r:id="rId9"/>
      <w:footerReference w:type="default" r:id="rId10"/>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44444"/>
        <w:sz w:val="16"/>
      </w:rPr>
      <w:t>Buckman Digital Water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00857C"/>
      </w:pBdr>
    </w:pPr>
    <w:r>
      <w:rPr>
        <w:color w:val="444444"/>
        <w:sz w:val="16"/>
      </w:rPr>
      <w:t>Buckman  |  Synthomer Chester SC (US)  |  August 2026 Cooling Water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