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60"/>
        <w:jc w:val="center"/>
      </w:pPr>
      <w:r>
        <w:rPr>
          <w:b/>
          <w:i w:val="0"/>
          <w:color w:val="444444"/>
          <w:sz w:val="20"/>
        </w:rPr>
        <w:t>BUCKMAN DIGITAL WATER</w:t>
      </w:r>
    </w:p>
    <w:p>
      <w:pPr>
        <w:spacing w:before="60" w:after="60"/>
        <w:jc w:val="center"/>
      </w:pPr>
      <w:r>
        <w:rPr>
          <w:b/>
          <w:i w:val="0"/>
          <w:sz w:val="40"/>
        </w:rPr>
        <w:t>Monthly Cooling Water Performance Report</w:t>
      </w:r>
    </w:p>
    <w:p>
      <w:pPr>
        <w:spacing w:before="60" w:after="200"/>
        <w:jc w:val="center"/>
      </w:pPr>
      <w:r>
        <w:rPr>
          <w:b/>
          <w:i w:val="0"/>
          <w:color w:val="00857C"/>
          <w:sz w:val="30"/>
        </w:rPr>
        <w:t>Synthomer Chester SC (US)</w:t>
      </w:r>
    </w:p>
    <w:p>
      <w:pPr>
        <w:spacing w:before="60" w:after="360"/>
        <w:jc w:val="center"/>
      </w:pPr>
      <w:r>
        <w:rPr>
          <w:b w:val="0"/>
          <w:i w:val="0"/>
          <w:color w:val="444444"/>
          <w:sz w:val="20"/>
        </w:rPr>
        <w:t>Reporting Month: May 2026</w:t>
      </w:r>
    </w:p>
    <w:tbl>
      <w:tblPr>
        <w:tblStyle w:val="TableGrid"/>
        <w:tblW w:type="auto" w:w="0"/>
        <w:tblLook w:firstColumn="1" w:firstRow="1" w:lastColumn="0" w:lastRow="0" w:noHBand="0" w:noVBand="1" w:val="04A0"/>
      </w:tblPr>
      <w:tblGrid>
        <w:gridCol w:w="2521"/>
        <w:gridCol w:w="2521"/>
        <w:gridCol w:w="2521"/>
        <w:gridCol w:w="2521"/>
      </w:tblGrid>
      <w:tr>
        <w:tc>
          <w:tcPr>
            <w:tcW w:type="dxa" w:w="3118"/>
            <w:shd w:val="clear" w:color="auto" w:fill="00857C"/>
          </w:tcPr>
          <w:p>
            <w:pPr>
              <w:spacing w:before="60" w:after="60"/>
            </w:pPr>
            <w:r>
              <w:rPr>
                <w:b/>
                <w:color w:val="FFFFFF"/>
                <w:sz w:val="18"/>
              </w:rPr>
              <w:t>Customer / Site</w:t>
            </w:r>
          </w:p>
        </w:tc>
        <w:tc>
          <w:tcPr>
            <w:tcW w:type="dxa" w:w="1701"/>
            <w:shd w:val="clear" w:color="auto" w:fill="00857C"/>
          </w:tcPr>
          <w:p>
            <w:pPr>
              <w:spacing w:before="60" w:after="60"/>
            </w:pPr>
            <w:r>
              <w:rPr>
                <w:b/>
                <w:color w:val="FFFFFF"/>
                <w:sz w:val="18"/>
              </w:rPr>
              <w:t>System</w:t>
            </w:r>
          </w:p>
        </w:tc>
        <w:tc>
          <w:tcPr>
            <w:tcW w:type="dxa" w:w="1984"/>
            <w:shd w:val="clear" w:color="auto" w:fill="00857C"/>
          </w:tcPr>
          <w:p>
            <w:pPr>
              <w:spacing w:before="60" w:after="60"/>
            </w:pPr>
            <w:r>
              <w:rPr>
                <w:b/>
                <w:color w:val="FFFFFF"/>
                <w:sz w:val="18"/>
              </w:rPr>
              <w:t>Controller</w:t>
            </w:r>
          </w:p>
        </w:tc>
        <w:tc>
          <w:tcPr>
            <w:tcW w:type="dxa" w:w="2551"/>
            <w:shd w:val="clear" w:color="auto" w:fill="00857C"/>
          </w:tcPr>
          <w:p>
            <w:pPr>
              <w:spacing w:before="60" w:after="60"/>
            </w:pPr>
            <w:r>
              <w:rPr>
                <w:b/>
                <w:color w:val="FFFFFF"/>
                <w:sz w:val="18"/>
              </w:rPr>
              <w:t>Prepared For</w:t>
            </w:r>
          </w:p>
        </w:tc>
      </w:tr>
      <w:tr>
        <w:tc>
          <w:tcPr>
            <w:tcW w:type="dxa" w:w="3118"/>
            <w:shd w:val="clear" w:color="auto" w:fill="FFFFFF"/>
          </w:tcPr>
          <w:p>
            <w:pPr>
              <w:spacing w:before="60" w:after="60"/>
            </w:pPr>
            <w:r>
              <w:rPr>
                <w:sz w:val="18"/>
              </w:rPr>
              <w:t>Synthomer Chester SC (US)</w:t>
            </w:r>
          </w:p>
        </w:tc>
        <w:tc>
          <w:tcPr>
            <w:tcW w:type="dxa" w:w="1701"/>
            <w:shd w:val="clear" w:color="auto" w:fill="FFFFFF"/>
          </w:tcPr>
          <w:p>
            <w:pPr>
              <w:spacing w:before="60" w:after="60"/>
            </w:pPr>
            <w:r>
              <w:rPr>
                <w:sz w:val="18"/>
              </w:rPr>
              <w:t>Cooling Tower</w:t>
            </w:r>
          </w:p>
        </w:tc>
        <w:tc>
          <w:tcPr>
            <w:tcW w:type="dxa" w:w="1984"/>
            <w:shd w:val="clear" w:color="auto" w:fill="FFFFFF"/>
          </w:tcPr>
          <w:p>
            <w:pPr>
              <w:spacing w:before="60" w:after="60"/>
            </w:pPr>
            <w:r>
              <w:rPr>
                <w:sz w:val="18"/>
              </w:rPr>
              <w:t>84253f5ee2c1</w:t>
            </w:r>
          </w:p>
        </w:tc>
        <w:tc>
          <w:tcPr>
            <w:tcW w:type="dxa" w:w="2551"/>
            <w:shd w:val="clear" w:color="auto" w:fill="FFFFFF"/>
          </w:tcPr>
          <w:p>
            <w:pPr>
              <w:spacing w:before="60" w:after="60"/>
            </w:pPr>
            <w:r>
              <w:rPr>
                <w:sz w:val="18"/>
              </w:rPr>
              <w:t>Monthly Performance Review</w:t>
            </w:r>
          </w:p>
        </w:tc>
      </w:tr>
    </w:tbl>
    <w:p/>
    <w:p>
      <w:pPr>
        <w:spacing w:before="200" w:after="120"/>
        <w:jc w:val="left"/>
      </w:pPr>
    </w:p>
    <w:p>
      <w:pPr>
        <w:spacing w:before="80" w:after="120"/>
        <w:jc w:val="center"/>
      </w:pPr>
      <w:r>
        <w:rPr>
          <w:b w:val="0"/>
          <w:i w:val="0"/>
          <w:color w:val="444444"/>
          <w:sz w:val="19"/>
        </w:rPr>
        <w:t>This report summarises corrosion control, scale control, microbial control, water efficiency, product efficiency, and proactive system support for Synthomer Chester SC (US), May 2026, using controller setpoints, telemetry KPIs, field data, and service note records.</w:t>
      </w:r>
    </w:p>
    <w:p>
      <w:pPr>
        <w:spacing w:before="200" w:after="120"/>
        <w:jc w:val="left"/>
      </w:pPr>
    </w:p>
    <w:tbl>
      <w:tblPr>
        <w:tblStyle w:val="TableGrid"/>
        <w:tblW w:type="auto" w:w="0"/>
        <w:tblLook w:firstColumn="1" w:firstRow="1" w:lastColumn="0" w:lastRow="0" w:noHBand="0" w:noVBand="1" w:val="04A0"/>
      </w:tblPr>
      <w:tblGrid>
        <w:gridCol w:w="3362"/>
        <w:gridCol w:w="3362"/>
        <w:gridCol w:w="3362"/>
      </w:tblGrid>
      <w:tr>
        <w:tc>
          <w:tcPr>
            <w:tcW w:type="dxa" w:w="3118"/>
            <w:shd w:val="clear" w:color="auto" w:fill="00857C"/>
          </w:tcPr>
          <w:p>
            <w:pPr>
              <w:spacing w:before="60" w:after="60"/>
            </w:pPr>
            <w:r>
              <w:rPr>
                <w:b/>
                <w:color w:val="FFFFFF"/>
                <w:sz w:val="18"/>
              </w:rPr>
              <w:t>Prepared By</w:t>
            </w:r>
          </w:p>
        </w:tc>
        <w:tc>
          <w:tcPr>
            <w:tcW w:type="dxa" w:w="2835"/>
            <w:shd w:val="clear" w:color="auto" w:fill="00857C"/>
          </w:tcPr>
          <w:p>
            <w:pPr>
              <w:spacing w:before="60" w:after="60"/>
            </w:pPr>
            <w:r>
              <w:rPr>
                <w:b/>
                <w:color w:val="FFFFFF"/>
                <w:sz w:val="18"/>
              </w:rPr>
              <w:t>Prepared Date</w:t>
            </w:r>
          </w:p>
        </w:tc>
        <w:tc>
          <w:tcPr>
            <w:tcW w:type="dxa" w:w="3402"/>
            <w:shd w:val="clear" w:color="auto" w:fill="00857C"/>
          </w:tcPr>
          <w:p>
            <w:pPr>
              <w:spacing w:before="60" w:after="60"/>
            </w:pPr>
            <w:r>
              <w:rPr>
                <w:b/>
                <w:color w:val="FFFFFF"/>
                <w:sz w:val="18"/>
              </w:rPr>
              <w:t>Report Status</w:t>
            </w:r>
          </w:p>
        </w:tc>
      </w:tr>
      <w:tr>
        <w:tc>
          <w:tcPr>
            <w:tcW w:type="dxa" w:w="3118"/>
            <w:shd w:val="clear" w:color="auto" w:fill="FFFFFF"/>
          </w:tcPr>
          <w:p>
            <w:pPr>
              <w:spacing w:before="60" w:after="60"/>
            </w:pPr>
            <w:r>
              <w:rPr>
                <w:sz w:val="18"/>
              </w:rPr>
              <w:t>Buckman Digital Water</w:t>
            </w:r>
          </w:p>
        </w:tc>
        <w:tc>
          <w:tcPr>
            <w:tcW w:type="dxa" w:w="2835"/>
            <w:shd w:val="clear" w:color="auto" w:fill="FFFFFF"/>
          </w:tcPr>
          <w:p>
            <w:pPr>
              <w:spacing w:before="60" w:after="60"/>
            </w:pPr>
            <w:r>
              <w:rPr>
                <w:sz w:val="18"/>
              </w:rPr>
              <w:t>24 August 2026</w:t>
            </w:r>
          </w:p>
        </w:tc>
        <w:tc>
          <w:tcPr>
            <w:tcW w:type="dxa" w:w="3402"/>
            <w:shd w:val="clear" w:color="auto" w:fill="FFFFFF"/>
          </w:tcPr>
          <w:p>
            <w:pPr>
              <w:spacing w:before="60" w:after="60"/>
            </w:pPr>
            <w:r>
              <w:rPr>
                <w:sz w:val="18"/>
              </w:rPr>
              <w:t>Draft</w:t>
            </w:r>
          </w:p>
        </w:tc>
      </w:tr>
    </w:tbl>
    <w:p/>
    <w:p>
      <w:r>
        <w:br w:type="page"/>
      </w:r>
    </w:p>
    <w:p>
      <w:pPr>
        <w:pBdr>
          <w:bottom w:val="single" w:sz="8" w:space="4" w:color="00857C"/>
        </w:pBdr>
        <w:spacing w:before="280" w:after="80"/>
      </w:pPr>
      <w:r>
        <w:rPr>
          <w:b/>
          <w:color w:val="00857C"/>
          <w:sz w:val="32"/>
        </w:rPr>
        <w:t>Executive Summary</w:t>
      </w:r>
    </w:p>
    <w:p>
      <w:pPr>
        <w:spacing w:before="200" w:after="60"/>
      </w:pPr>
      <w:r>
        <w:rPr>
          <w:b/>
          <w:color w:val="005F58"/>
          <w:sz w:val="26"/>
        </w:rPr>
        <w:t>System Health Check</w:t>
      </w:r>
    </w:p>
    <w:p>
      <w:pPr>
        <w:spacing w:before="160" w:after="40"/>
      </w:pPr>
      <w:r>
        <w:rPr>
          <w:b/>
          <w:color w:val="222222"/>
          <w:sz w:val="22"/>
        </w:rPr>
        <w:t>Corrosion Control</w:t>
      </w:r>
    </w:p>
    <w:p>
      <w:pPr>
        <w:spacing w:before="60" w:after="100"/>
      </w:pPr>
      <w:r>
        <w:rPr>
          <w:b/>
          <w:sz w:val="20"/>
        </w:rPr>
        <w:t xml:space="preserve">Status: </w:t>
      </w:r>
      <w:r>
        <w:rPr>
          <w:b/>
          <w:color w:val="00857C"/>
          <w:sz w:val="20"/>
        </w:rPr>
        <w:t>Excellent</w:t>
      </w:r>
    </w:p>
    <w:p>
      <w:pPr>
        <w:spacing w:before="80" w:after="120"/>
        <w:jc w:val="left"/>
      </w:pPr>
      <w:r>
        <w:rPr>
          <w:b w:val="0"/>
          <w:i w:val="0"/>
          <w:sz w:val="20"/>
        </w:rPr>
        <w:t>The average mild steel corrosion rate was 0.24 MPY against the target of within 3.0 MPY, and the average copper corrosion rate was 0.2200 MPY against the target of within 0.5 MPY. Corrosion control status was Good, with both metals operating within the program targets for the reporting period.</w:t>
      </w:r>
    </w:p>
    <w:p>
      <w:pPr>
        <w:spacing w:before="160" w:after="40"/>
      </w:pPr>
      <w:r>
        <w:rPr>
          <w:b/>
          <w:color w:val="222222"/>
          <w:sz w:val="22"/>
        </w:rPr>
        <w:t>Scale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Status: Acceptable. Traced Product was within the Controller Setpoint control range for 44.1% of the reporting month. Polymer consumption rate averaged 29.7% and decreased from 33.4% at the start of the month to 30.1% at the end of the month. End-of-month Traced Product was 6.7% higher than the setpoint, and conductivity was also not maintained, so the product trend should be treated as conductivity-related until cycles, blowdown, makeup, or dilution behavior is corrected. Conductivity was below its setpoint configuration range for most of the same period, so water loss, dilution, or blowdown/makeup behavior should be inspected during the upcoming service visit.</w:t>
      </w:r>
    </w:p>
    <w:p>
      <w:pPr>
        <w:spacing w:before="160" w:after="40"/>
      </w:pPr>
      <w:r>
        <w:rPr>
          <w:b/>
          <w:color w:val="222222"/>
          <w:sz w:val="22"/>
        </w:rPr>
        <w:t>Microbial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Microbial Control status was Stable. FRC data was not available in the field test data for this reporting period and will be checked during the upcoming service visit. ORP spike response after timer-controlled biocide feed was consistent, indicating the system responded to treatment.</w:t>
      </w:r>
    </w:p>
    <w:p>
      <w:pPr>
        <w:spacing w:before="80" w:after="120"/>
        <w:jc w:val="left"/>
      </w:pPr>
      <w:r>
        <w:rPr>
          <w:b w:val="0"/>
          <w:i w:val="0"/>
          <w:sz w:val="20"/>
        </w:rPr>
        <w:t>Dip-slide analysis was not available for this reporting period and will be measured during the upcoming service visit.</w:t>
      </w:r>
    </w:p>
    <w:p>
      <w:pPr>
        <w:spacing w:before="200" w:after="60"/>
      </w:pPr>
      <w:r>
        <w:rPr>
          <w:b/>
          <w:color w:val="005F58"/>
          <w:sz w:val="26"/>
        </w:rPr>
        <w:t>Water Efficiency</w:t>
      </w:r>
    </w:p>
    <w:p>
      <w:pPr>
        <w:spacing w:before="60" w:after="100"/>
      </w:pPr>
      <w:r>
        <w:rPr>
          <w:b/>
          <w:sz w:val="20"/>
        </w:rPr>
        <w:t xml:space="preserve">Status: </w:t>
      </w:r>
      <w:r>
        <w:rPr>
          <w:b/>
          <w:color w:val="00857C"/>
          <w:sz w:val="20"/>
        </w:rPr>
        <w:t>Excellent</w:t>
      </w:r>
    </w:p>
    <w:tbl>
      <w:tblPr>
        <w:tblStyle w:val="TableGrid"/>
        <w:tblW w:type="auto" w:w="0"/>
        <w:tblLook w:firstColumn="1" w:firstRow="1" w:lastColumn="0" w:lastRow="0" w:noHBand="0" w:noVBand="1" w:val="04A0"/>
      </w:tblPr>
      <w:tblGrid>
        <w:gridCol w:w="2017"/>
        <w:gridCol w:w="2017"/>
        <w:gridCol w:w="2017"/>
        <w:gridCol w:w="2017"/>
        <w:gridCol w:w="2017"/>
      </w:tblGrid>
      <w:tr>
        <w:tc>
          <w:tcPr>
            <w:tcW w:type="dxa" w:w="1928"/>
            <w:shd w:val="clear" w:color="auto" w:fill="00857C"/>
          </w:tcPr>
          <w:p>
            <w:pPr>
              <w:spacing w:before="60" w:after="60"/>
            </w:pPr>
            <w:r>
              <w:rPr>
                <w:b/>
                <w:color w:val="FFFFFF"/>
                <w:sz w:val="18"/>
              </w:rPr>
              <w:t>MU Conductivity</w:t>
            </w:r>
          </w:p>
        </w:tc>
        <w:tc>
          <w:tcPr>
            <w:tcW w:type="dxa" w:w="1928"/>
            <w:shd w:val="clear" w:color="auto" w:fill="00857C"/>
          </w:tcPr>
          <w:p>
            <w:pPr>
              <w:spacing w:before="60" w:after="60"/>
            </w:pPr>
            <w:r>
              <w:rPr>
                <w:b/>
                <w:color w:val="FFFFFF"/>
                <w:sz w:val="18"/>
              </w:rPr>
              <w:t>Target COC</w:t>
            </w:r>
          </w:p>
        </w:tc>
        <w:tc>
          <w:tcPr>
            <w:tcW w:type="dxa" w:w="1928"/>
            <w:shd w:val="clear" w:color="auto" w:fill="00857C"/>
          </w:tcPr>
          <w:p>
            <w:pPr>
              <w:spacing w:before="60" w:after="60"/>
            </w:pPr>
            <w:r>
              <w:rPr>
                <w:b/>
                <w:color w:val="FFFFFF"/>
                <w:sz w:val="18"/>
              </w:rPr>
              <w:t>Actual COC</w:t>
            </w:r>
          </w:p>
        </w:tc>
        <w:tc>
          <w:tcPr>
            <w:tcW w:type="dxa" w:w="1928"/>
            <w:shd w:val="clear" w:color="auto" w:fill="00857C"/>
          </w:tcPr>
          <w:p>
            <w:pPr>
              <w:spacing w:before="60" w:after="60"/>
            </w:pPr>
            <w:r>
              <w:rPr>
                <w:b/>
                <w:color w:val="FFFFFF"/>
                <w:sz w:val="18"/>
              </w:rPr>
              <w:t>Deviation</w:t>
            </w:r>
          </w:p>
        </w:tc>
        <w:tc>
          <w:tcPr>
            <w:tcW w:type="dxa" w:w="1928"/>
            <w:shd w:val="clear" w:color="auto" w:fill="00857C"/>
          </w:tcPr>
          <w:p>
            <w:pPr>
              <w:spacing w:before="60" w:after="60"/>
            </w:pPr>
            <w:r>
              <w:rPr>
                <w:b/>
                <w:color w:val="FFFFFF"/>
                <w:sz w:val="18"/>
              </w:rPr>
              <w:t>Status</w:t>
            </w:r>
          </w:p>
        </w:tc>
      </w:tr>
      <w:tr>
        <w:tc>
          <w:tcPr>
            <w:tcW w:type="dxa" w:w="1928"/>
            <w:shd w:val="clear" w:color="auto" w:fill="FFFFFF"/>
          </w:tcPr>
          <w:p>
            <w:pPr>
              <w:spacing w:before="60" w:after="60"/>
            </w:pPr>
            <w:r>
              <w:rPr>
                <w:sz w:val="18"/>
              </w:rPr>
              <w:t>100.0 µS/cm</w:t>
            </w:r>
          </w:p>
        </w:tc>
        <w:tc>
          <w:tcPr>
            <w:tcW w:type="dxa" w:w="1928"/>
            <w:shd w:val="clear" w:color="auto" w:fill="FFFFFF"/>
          </w:tcPr>
          <w:p>
            <w:pPr>
              <w:spacing w:before="60" w:after="60"/>
            </w:pPr>
            <w:r>
              <w:rPr>
                <w:sz w:val="18"/>
              </w:rPr>
              <w:t>10.0</w:t>
            </w:r>
          </w:p>
        </w:tc>
        <w:tc>
          <w:tcPr>
            <w:tcW w:type="dxa" w:w="1928"/>
            <w:shd w:val="clear" w:color="auto" w:fill="FFFFFF"/>
          </w:tcPr>
          <w:p>
            <w:pPr>
              <w:spacing w:before="60" w:after="60"/>
            </w:pPr>
            <w:r>
              <w:rPr>
                <w:sz w:val="18"/>
              </w:rPr>
              <w:t>8.66</w:t>
            </w:r>
          </w:p>
        </w:tc>
        <w:tc>
          <w:tcPr>
            <w:tcW w:type="dxa" w:w="1928"/>
            <w:shd w:val="clear" w:color="auto" w:fill="FFFFFF"/>
          </w:tcPr>
          <w:p>
            <w:pPr>
              <w:spacing w:before="60" w:after="60"/>
            </w:pPr>
            <w:r>
              <w:rPr>
                <w:sz w:val="18"/>
              </w:rPr>
              <w:t>13.4%</w:t>
            </w:r>
          </w:p>
        </w:tc>
        <w:tc>
          <w:tcPr>
            <w:tcW w:type="dxa" w:w="1928"/>
            <w:shd w:val="clear" w:color="auto" w:fill="FFFFFF"/>
          </w:tcPr>
          <w:p>
            <w:pPr>
              <w:spacing w:before="60" w:after="60"/>
            </w:pPr>
            <w:r>
              <w:rPr>
                <w:sz w:val="18"/>
              </w:rPr>
              <w:t>Excellent</w:t>
            </w:r>
          </w:p>
        </w:tc>
      </w:tr>
    </w:tbl>
    <w:p/>
    <w:p>
      <w:pPr>
        <w:spacing w:before="80" w:after="120"/>
        <w:jc w:val="left"/>
      </w:pPr>
      <w:r>
        <w:rPr>
          <w:b w:val="0"/>
          <w:i w:val="0"/>
          <w:sz w:val="20"/>
        </w:rPr>
        <w:t>Water Efficiency status was Good, with 100.0% of recent conductivity readings within the 950-1050 µS/cm Controller Setpoint range. The 90-day average conductivity was 910.5 µS/cm against a 1000 µS/cm Controller Setpoint, and the actual COC was 9.11 compared with the target COC of 10.0. This represents an 8.9% deviation from target COC, which remains within acceptable performance for the period.</w:t>
      </w:r>
    </w:p>
    <w:p>
      <w:pPr>
        <w:spacing w:before="200" w:after="60"/>
      </w:pPr>
      <w:r>
        <w:rPr>
          <w:b/>
          <w:color w:val="005F58"/>
          <w:sz w:val="26"/>
        </w:rPr>
        <w:t>Product Efficiency</w:t>
      </w:r>
    </w:p>
    <w:p>
      <w:pPr>
        <w:spacing w:before="60" w:after="100"/>
      </w:pPr>
      <w:r>
        <w:rPr>
          <w:b/>
          <w:sz w:val="20"/>
        </w:rPr>
        <w:t xml:space="preserve">Status: </w:t>
      </w:r>
      <w:r>
        <w:rPr>
          <w:b/>
          <w:color w:val="B8860B"/>
          <w:sz w:val="20"/>
        </w:rPr>
        <w:t>Acceptable</w:t>
      </w:r>
    </w:p>
    <w:p>
      <w:pPr>
        <w:spacing w:before="80" w:after="120"/>
        <w:jc w:val="left"/>
      </w:pPr>
      <w:r>
        <w:rPr>
          <w:b w:val="0"/>
          <w:i w:val="0"/>
          <w:sz w:val="20"/>
        </w:rPr>
        <w:t>Product Efficiency requires attention because Traced Product averaged 106.8 ppm versus the 100.0 ppm Controller Setpoint target and only 10.0% of recent readings were in range, indicating the product is being overdosed. Actual consumption was not available for this reporting period. The dosing pump rate may be too high or the fluorometer may need recalibration; decrease the pump stroke, verify fluorometer calibration with a grab sample, check the dosing valve, and inspect the probe, which will be addressed at the next service visit.</w:t>
      </w:r>
    </w:p>
    <w:p>
      <w:pPr>
        <w:spacing w:before="200" w:after="60"/>
      </w:pPr>
      <w:r>
        <w:rPr>
          <w:b/>
          <w:color w:val="005F58"/>
          <w:sz w:val="26"/>
        </w:rPr>
        <w:t>Proactive System Support</w:t>
      </w:r>
    </w:p>
    <w:p>
      <w:pPr>
        <w:spacing w:before="80" w:after="120"/>
        <w:jc w:val="left"/>
      </w:pPr>
      <w:r>
        <w:rPr>
          <w:b w:val="0"/>
          <w:i w:val="0"/>
          <w:sz w:val="20"/>
        </w:rPr>
        <w:t>Proactive System Support: No alarm data was available for this reporting period, so performance was reviewed against the Ackumen average of 6 alarms per controller. Recommended follow-up: Confirm inhibitor residual, inspect for deposit activity, and compare corrosion movement with ORP and product trends. Traced Product was not maintained while conductivity was also not maintained, so treat the product issue as conductivity-related and check cycles, blowdown, makeup, and dilution behavior first. Check FRC during the upcoming service visit to confirm oxidizing biocide residual. Measure dip-slide CFU during the upcoming service visit to confirm microbial control. Verify phosphate and silica residuals against the polymer consumption trend during the next service visit.</w:t>
      </w:r>
    </w:p>
    <w:p>
      <w:r>
        <w:br w:type="page"/>
      </w:r>
    </w:p>
    <w:p>
      <w:pPr>
        <w:pBdr>
          <w:bottom w:val="single" w:sz="8" w:space="4" w:color="00857C"/>
        </w:pBdr>
        <w:spacing w:before="280" w:after="80"/>
      </w:pPr>
      <w:r>
        <w:rPr>
          <w:b/>
          <w:color w:val="00857C"/>
          <w:sz w:val="32"/>
        </w:rPr>
        <w:t>Performance Summary</w:t>
      </w:r>
    </w:p>
    <w:p>
      <w:pPr>
        <w:spacing w:before="80" w:after="120"/>
        <w:jc w:val="left"/>
      </w:pPr>
      <w:r>
        <w:rPr>
          <w:b w:val="0"/>
          <w:i/>
          <w:color w:val="444444"/>
          <w:sz w:val="18"/>
        </w:rPr>
        <w:t>Controller Setpoints are used as control limits below. % In Range is calculated from the full reporting month telemetry.</w:t>
      </w:r>
    </w:p>
    <w:tbl>
      <w:tblPr>
        <w:tblStyle w:val="TableGrid"/>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814"/>
            <w:shd w:val="clear" w:color="auto" w:fill="00857C"/>
          </w:tcPr>
          <w:p>
            <w:pPr>
              <w:spacing w:before="60" w:after="60"/>
            </w:pPr>
            <w:r>
              <w:rPr>
                <w:b/>
                <w:color w:val="FFFFFF"/>
                <w:sz w:val="18"/>
              </w:rPr>
              <w:t>Parameter</w:t>
            </w:r>
          </w:p>
        </w:tc>
        <w:tc>
          <w:tcPr>
            <w:tcW w:type="dxa" w:w="1247"/>
            <w:shd w:val="clear" w:color="auto" w:fill="00857C"/>
          </w:tcPr>
          <w:p>
            <w:pPr>
              <w:spacing w:before="60" w:after="60"/>
            </w:pPr>
            <w:r>
              <w:rPr>
                <w:b/>
                <w:color w:val="FFFFFF"/>
                <w:sz w:val="18"/>
              </w:rPr>
              <w:t>Context Point</w:t>
            </w:r>
          </w:p>
        </w:tc>
        <w:tc>
          <w:tcPr>
            <w:tcW w:type="dxa" w:w="850"/>
            <w:shd w:val="clear" w:color="auto" w:fill="00857C"/>
          </w:tcPr>
          <w:p>
            <w:pPr>
              <w:spacing w:before="60" w:after="60"/>
            </w:pPr>
            <w:r>
              <w:rPr>
                <w:b/>
                <w:color w:val="FFFFFF"/>
                <w:sz w:val="18"/>
              </w:rPr>
              <w:t>Average</w:t>
            </w:r>
          </w:p>
        </w:tc>
        <w:tc>
          <w:tcPr>
            <w:tcW w:type="dxa" w:w="850"/>
            <w:shd w:val="clear" w:color="auto" w:fill="00857C"/>
          </w:tcPr>
          <w:p>
            <w:pPr>
              <w:spacing w:before="60" w:after="60"/>
            </w:pPr>
            <w:r>
              <w:rPr>
                <w:b/>
                <w:color w:val="FFFFFF"/>
                <w:sz w:val="18"/>
              </w:rPr>
              <w:t>Std Dev</w:t>
            </w:r>
          </w:p>
        </w:tc>
        <w:tc>
          <w:tcPr>
            <w:tcW w:type="dxa" w:w="794"/>
            <w:shd w:val="clear" w:color="auto" w:fill="00857C"/>
          </w:tcPr>
          <w:p>
            <w:pPr>
              <w:spacing w:before="60" w:after="60"/>
            </w:pPr>
            <w:r>
              <w:rPr>
                <w:b/>
                <w:color w:val="FFFFFF"/>
                <w:sz w:val="18"/>
              </w:rPr>
              <w:t>Min</w:t>
            </w:r>
          </w:p>
        </w:tc>
        <w:tc>
          <w:tcPr>
            <w:tcW w:type="dxa" w:w="794"/>
            <w:shd w:val="clear" w:color="auto" w:fill="00857C"/>
          </w:tcPr>
          <w:p>
            <w:pPr>
              <w:spacing w:before="60" w:after="60"/>
            </w:pPr>
            <w:r>
              <w:rPr>
                <w:b/>
                <w:color w:val="FFFFFF"/>
                <w:sz w:val="18"/>
              </w:rPr>
              <w:t>Max</w:t>
            </w:r>
          </w:p>
        </w:tc>
        <w:tc>
          <w:tcPr>
            <w:tcW w:type="dxa" w:w="964"/>
            <w:shd w:val="clear" w:color="auto" w:fill="00857C"/>
          </w:tcPr>
          <w:p>
            <w:pPr>
              <w:spacing w:before="60" w:after="60"/>
            </w:pPr>
            <w:r>
              <w:rPr>
                <w:b/>
                <w:color w:val="FFFFFF"/>
                <w:sz w:val="18"/>
              </w:rPr>
              <w:t>Lower Limit</w:t>
            </w:r>
          </w:p>
        </w:tc>
        <w:tc>
          <w:tcPr>
            <w:tcW w:type="dxa" w:w="964"/>
            <w:shd w:val="clear" w:color="auto" w:fill="00857C"/>
          </w:tcPr>
          <w:p>
            <w:pPr>
              <w:spacing w:before="60" w:after="60"/>
            </w:pPr>
            <w:r>
              <w:rPr>
                <w:b/>
                <w:color w:val="FFFFFF"/>
                <w:sz w:val="18"/>
              </w:rPr>
              <w:t>Upper Limit</w:t>
            </w:r>
          </w:p>
        </w:tc>
        <w:tc>
          <w:tcPr>
            <w:tcW w:type="dxa" w:w="1020"/>
            <w:shd w:val="clear" w:color="auto" w:fill="00857C"/>
          </w:tcPr>
          <w:p>
            <w:pPr>
              <w:spacing w:before="60" w:after="60"/>
            </w:pPr>
            <w:r>
              <w:rPr>
                <w:b/>
                <w:color w:val="FFFFFF"/>
                <w:sz w:val="18"/>
              </w:rPr>
              <w:t>% In Range</w:t>
            </w:r>
          </w:p>
        </w:tc>
        <w:tc>
          <w:tcPr>
            <w:tcW w:type="dxa" w:w="1247"/>
            <w:shd w:val="clear" w:color="auto" w:fill="00857C"/>
          </w:tcPr>
          <w:p>
            <w:pPr>
              <w:spacing w:before="60" w:after="60"/>
            </w:pPr>
            <w:r>
              <w:rPr>
                <w:b/>
                <w:color w:val="FFFFFF"/>
                <w:sz w:val="18"/>
              </w:rPr>
              <w:t>Status</w:t>
            </w:r>
          </w:p>
        </w:tc>
      </w:tr>
      <w:tr>
        <w:tc>
          <w:tcPr>
            <w:tcW w:type="dxa" w:w="1814"/>
            <w:shd w:val="clear" w:color="auto" w:fill="FFFFFF"/>
          </w:tcPr>
          <w:p>
            <w:pPr>
              <w:spacing w:before="60" w:after="60"/>
            </w:pPr>
            <w:r>
              <w:rPr>
                <w:sz w:val="18"/>
              </w:rPr>
              <w:t>Corrosion – MS (MPY)</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0.235</w:t>
            </w:r>
          </w:p>
        </w:tc>
        <w:tc>
          <w:tcPr>
            <w:tcW w:type="dxa" w:w="850"/>
            <w:shd w:val="clear" w:color="auto" w:fill="FFFFFF"/>
          </w:tcPr>
          <w:p>
            <w:pPr>
              <w:spacing w:before="60" w:after="60"/>
            </w:pPr>
            <w:r>
              <w:rPr>
                <w:sz w:val="18"/>
              </w:rPr>
              <w:t>0.075</w:t>
            </w:r>
          </w:p>
        </w:tc>
        <w:tc>
          <w:tcPr>
            <w:tcW w:type="dxa" w:w="794"/>
            <w:shd w:val="clear" w:color="auto" w:fill="FFFFFF"/>
          </w:tcPr>
          <w:p>
            <w:pPr>
              <w:spacing w:before="60" w:after="60"/>
            </w:pPr>
            <w:r>
              <w:rPr>
                <w:sz w:val="18"/>
              </w:rPr>
              <w:t>0.100</w:t>
            </w:r>
          </w:p>
        </w:tc>
        <w:tc>
          <w:tcPr>
            <w:tcW w:type="dxa" w:w="794"/>
            <w:shd w:val="clear" w:color="auto" w:fill="FFFFFF"/>
          </w:tcPr>
          <w:p>
            <w:pPr>
              <w:spacing w:before="60" w:after="60"/>
            </w:pPr>
            <w:r>
              <w:rPr>
                <w:sz w:val="18"/>
              </w:rPr>
              <w:t>0.686</w:t>
            </w:r>
          </w:p>
        </w:tc>
        <w:tc>
          <w:tcPr>
            <w:tcW w:type="dxa" w:w="964"/>
            <w:shd w:val="clear" w:color="auto" w:fill="FFFFFF"/>
          </w:tcPr>
          <w:p>
            <w:pPr>
              <w:spacing w:before="60" w:after="60"/>
            </w:pPr>
            <w:r>
              <w:rPr>
                <w:sz w:val="18"/>
              </w:rPr>
              <w:t>0.00</w:t>
            </w:r>
          </w:p>
        </w:tc>
        <w:tc>
          <w:tcPr>
            <w:tcW w:type="dxa" w:w="964"/>
            <w:shd w:val="clear" w:color="auto" w:fill="FFFFFF"/>
          </w:tcPr>
          <w:p>
            <w:pPr>
              <w:spacing w:before="60" w:after="60"/>
            </w:pPr>
            <w:r>
              <w:rPr>
                <w:sz w:val="18"/>
              </w:rPr>
              <w:t>3.00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 Excellent</w:t>
            </w:r>
          </w:p>
        </w:tc>
      </w:tr>
      <w:tr>
        <w:tc>
          <w:tcPr>
            <w:tcW w:type="dxa" w:w="1814"/>
            <w:shd w:val="clear" w:color="auto" w:fill="F2F8F7"/>
          </w:tcPr>
          <w:p>
            <w:pPr>
              <w:spacing w:before="60" w:after="60"/>
            </w:pPr>
            <w:r>
              <w:rPr>
                <w:sz w:val="18"/>
              </w:rPr>
              <w:t>Corrosion – Cu (MPY)</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0.265</w:t>
            </w:r>
          </w:p>
        </w:tc>
        <w:tc>
          <w:tcPr>
            <w:tcW w:type="dxa" w:w="850"/>
            <w:shd w:val="clear" w:color="auto" w:fill="F2F8F7"/>
          </w:tcPr>
          <w:p>
            <w:pPr>
              <w:spacing w:before="60" w:after="60"/>
            </w:pPr>
            <w:r>
              <w:rPr>
                <w:sz w:val="18"/>
              </w:rPr>
              <w:t>0.225</w:t>
            </w:r>
          </w:p>
        </w:tc>
        <w:tc>
          <w:tcPr>
            <w:tcW w:type="dxa" w:w="794"/>
            <w:shd w:val="clear" w:color="auto" w:fill="F2F8F7"/>
          </w:tcPr>
          <w:p>
            <w:pPr>
              <w:spacing w:before="60" w:after="60"/>
            </w:pPr>
            <w:r>
              <w:rPr>
                <w:sz w:val="18"/>
              </w:rPr>
              <w:t>0.000</w:t>
            </w:r>
          </w:p>
        </w:tc>
        <w:tc>
          <w:tcPr>
            <w:tcW w:type="dxa" w:w="794"/>
            <w:shd w:val="clear" w:color="auto" w:fill="F2F8F7"/>
          </w:tcPr>
          <w:p>
            <w:pPr>
              <w:spacing w:before="60" w:after="60"/>
            </w:pPr>
            <w:r>
              <w:rPr>
                <w:sz w:val="18"/>
              </w:rPr>
              <w:t>1.561</w:t>
            </w:r>
          </w:p>
        </w:tc>
        <w:tc>
          <w:tcPr>
            <w:tcW w:type="dxa" w:w="964"/>
            <w:shd w:val="clear" w:color="auto" w:fill="F2F8F7"/>
          </w:tcPr>
          <w:p>
            <w:pPr>
              <w:spacing w:before="60" w:after="60"/>
            </w:pPr>
            <w:r>
              <w:rPr>
                <w:sz w:val="18"/>
              </w:rPr>
              <w:t>0.00</w:t>
            </w:r>
          </w:p>
        </w:tc>
        <w:tc>
          <w:tcPr>
            <w:tcW w:type="dxa" w:w="964"/>
            <w:shd w:val="clear" w:color="auto" w:fill="F2F8F7"/>
          </w:tcPr>
          <w:p>
            <w:pPr>
              <w:spacing w:before="60" w:after="60"/>
            </w:pPr>
            <w:r>
              <w:rPr>
                <w:sz w:val="18"/>
              </w:rPr>
              <w:t>0.50</w:t>
            </w:r>
          </w:p>
        </w:tc>
        <w:tc>
          <w:tcPr>
            <w:tcW w:type="dxa" w:w="1020"/>
            <w:shd w:val="clear" w:color="auto" w:fill="F2F8F7"/>
          </w:tcPr>
          <w:p>
            <w:pPr>
              <w:spacing w:before="60" w:after="60"/>
            </w:pPr>
            <w:r>
              <w:rPr>
                <w:sz w:val="18"/>
              </w:rPr>
              <w:t>90.0%</w:t>
            </w:r>
          </w:p>
        </w:tc>
        <w:tc>
          <w:tcPr>
            <w:tcW w:type="dxa" w:w="1247"/>
            <w:shd w:val="clear" w:color="auto" w:fill="F2F8F7"/>
          </w:tcPr>
          <w:p>
            <w:pPr>
              <w:spacing w:before="60" w:after="60"/>
            </w:pPr>
            <w:r>
              <w:rPr>
                <w:sz w:val="18"/>
              </w:rPr>
              <w:t>✓ Excellent</w:t>
            </w:r>
          </w:p>
        </w:tc>
      </w:tr>
      <w:tr>
        <w:tc>
          <w:tcPr>
            <w:tcW w:type="dxa" w:w="1814"/>
            <w:shd w:val="clear" w:color="auto" w:fill="FFFFFF"/>
          </w:tcPr>
          <w:p>
            <w:pPr>
              <w:spacing w:before="60" w:after="60"/>
            </w:pPr>
            <w:r>
              <w:rPr>
                <w:sz w:val="18"/>
              </w:rPr>
              <w:t>Traced Product (ppm)</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105.869</w:t>
            </w:r>
          </w:p>
        </w:tc>
        <w:tc>
          <w:tcPr>
            <w:tcW w:type="dxa" w:w="850"/>
            <w:shd w:val="clear" w:color="auto" w:fill="FFFFFF"/>
          </w:tcPr>
          <w:p>
            <w:pPr>
              <w:spacing w:before="60" w:after="60"/>
            </w:pPr>
            <w:r>
              <w:rPr>
                <w:sz w:val="18"/>
              </w:rPr>
              <w:t>4.218</w:t>
            </w:r>
          </w:p>
        </w:tc>
        <w:tc>
          <w:tcPr>
            <w:tcW w:type="dxa" w:w="794"/>
            <w:shd w:val="clear" w:color="auto" w:fill="FFFFFF"/>
          </w:tcPr>
          <w:p>
            <w:pPr>
              <w:spacing w:before="60" w:after="60"/>
            </w:pPr>
            <w:r>
              <w:rPr>
                <w:sz w:val="18"/>
              </w:rPr>
              <w:t>90.998</w:t>
            </w:r>
          </w:p>
        </w:tc>
        <w:tc>
          <w:tcPr>
            <w:tcW w:type="dxa" w:w="794"/>
            <w:shd w:val="clear" w:color="auto" w:fill="FFFFFF"/>
          </w:tcPr>
          <w:p>
            <w:pPr>
              <w:spacing w:before="60" w:after="60"/>
            </w:pPr>
            <w:r>
              <w:rPr>
                <w:sz w:val="18"/>
              </w:rPr>
              <w:t>123.945</w:t>
            </w:r>
          </w:p>
        </w:tc>
        <w:tc>
          <w:tcPr>
            <w:tcW w:type="dxa" w:w="964"/>
            <w:shd w:val="clear" w:color="auto" w:fill="FFFFFF"/>
          </w:tcPr>
          <w:p>
            <w:pPr>
              <w:spacing w:before="60" w:after="60"/>
            </w:pPr>
            <w:r>
              <w:rPr>
                <w:sz w:val="18"/>
              </w:rPr>
              <w:t>95.0</w:t>
            </w:r>
          </w:p>
        </w:tc>
        <w:tc>
          <w:tcPr>
            <w:tcW w:type="dxa" w:w="964"/>
            <w:shd w:val="clear" w:color="auto" w:fill="FFFFFF"/>
          </w:tcPr>
          <w:p>
            <w:pPr>
              <w:spacing w:before="60" w:after="60"/>
            </w:pPr>
            <w:r>
              <w:rPr>
                <w:sz w:val="18"/>
              </w:rPr>
              <w:t>105.0</w:t>
            </w:r>
          </w:p>
        </w:tc>
        <w:tc>
          <w:tcPr>
            <w:tcW w:type="dxa" w:w="1020"/>
            <w:shd w:val="clear" w:color="auto" w:fill="FFFFFF"/>
          </w:tcPr>
          <w:p>
            <w:pPr>
              <w:spacing w:before="60" w:after="60"/>
            </w:pPr>
            <w:r>
              <w:rPr>
                <w:sz w:val="18"/>
              </w:rPr>
              <w:t>44.1%</w:t>
            </w:r>
          </w:p>
        </w:tc>
        <w:tc>
          <w:tcPr>
            <w:tcW w:type="dxa" w:w="1247"/>
            <w:shd w:val="clear" w:color="auto" w:fill="FFFFFF"/>
          </w:tcPr>
          <w:p>
            <w:pPr>
              <w:spacing w:before="60" w:after="60"/>
            </w:pPr>
            <w:r>
              <w:rPr>
                <w:sz w:val="18"/>
              </w:rPr>
              <w:t>⚠ Acceptable</w:t>
            </w:r>
          </w:p>
        </w:tc>
      </w:tr>
      <w:tr>
        <w:tc>
          <w:tcPr>
            <w:tcW w:type="dxa" w:w="1814"/>
            <w:shd w:val="clear" w:color="auto" w:fill="F2F8F7"/>
          </w:tcPr>
          <w:p>
            <w:pPr>
              <w:spacing w:before="60" w:after="60"/>
            </w:pPr>
            <w:r>
              <w:rPr>
                <w:sz w:val="18"/>
              </w:rPr>
              <w:t>Conductivity (µS/cm)</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866.009</w:t>
            </w:r>
          </w:p>
        </w:tc>
        <w:tc>
          <w:tcPr>
            <w:tcW w:type="dxa" w:w="850"/>
            <w:shd w:val="clear" w:color="auto" w:fill="F2F8F7"/>
          </w:tcPr>
          <w:p>
            <w:pPr>
              <w:spacing w:before="60" w:after="60"/>
            </w:pPr>
            <w:r>
              <w:rPr>
                <w:sz w:val="18"/>
              </w:rPr>
              <w:t>77.187</w:t>
            </w:r>
          </w:p>
        </w:tc>
        <w:tc>
          <w:tcPr>
            <w:tcW w:type="dxa" w:w="794"/>
            <w:shd w:val="clear" w:color="auto" w:fill="F2F8F7"/>
          </w:tcPr>
          <w:p>
            <w:pPr>
              <w:spacing w:before="60" w:after="60"/>
            </w:pPr>
            <w:r>
              <w:rPr>
                <w:sz w:val="18"/>
              </w:rPr>
              <w:t>721.525</w:t>
            </w:r>
          </w:p>
        </w:tc>
        <w:tc>
          <w:tcPr>
            <w:tcW w:type="dxa" w:w="794"/>
            <w:shd w:val="clear" w:color="auto" w:fill="F2F8F7"/>
          </w:tcPr>
          <w:p>
            <w:pPr>
              <w:spacing w:before="60" w:after="60"/>
            </w:pPr>
            <w:r>
              <w:rPr>
                <w:sz w:val="18"/>
              </w:rPr>
              <w:t>1062.051</w:t>
            </w:r>
          </w:p>
        </w:tc>
        <w:tc>
          <w:tcPr>
            <w:tcW w:type="dxa" w:w="964"/>
            <w:shd w:val="clear" w:color="auto" w:fill="F2F8F7"/>
          </w:tcPr>
          <w:p>
            <w:pPr>
              <w:spacing w:before="60" w:after="60"/>
            </w:pPr>
            <w:r>
              <w:rPr>
                <w:sz w:val="18"/>
              </w:rPr>
              <w:t>950</w:t>
            </w:r>
          </w:p>
        </w:tc>
        <w:tc>
          <w:tcPr>
            <w:tcW w:type="dxa" w:w="964"/>
            <w:shd w:val="clear" w:color="auto" w:fill="F2F8F7"/>
          </w:tcPr>
          <w:p>
            <w:pPr>
              <w:spacing w:before="60" w:after="60"/>
            </w:pPr>
            <w:r>
              <w:rPr>
                <w:sz w:val="18"/>
              </w:rPr>
              <w:t>1050</w:t>
            </w:r>
          </w:p>
        </w:tc>
        <w:tc>
          <w:tcPr>
            <w:tcW w:type="dxa" w:w="1020"/>
            <w:shd w:val="clear" w:color="auto" w:fill="F2F8F7"/>
          </w:tcPr>
          <w:p>
            <w:pPr>
              <w:spacing w:before="60" w:after="60"/>
            </w:pPr>
            <w:r>
              <w:rPr>
                <w:sz w:val="18"/>
              </w:rPr>
              <w:t>19.6%</w:t>
            </w:r>
          </w:p>
        </w:tc>
        <w:tc>
          <w:tcPr>
            <w:tcW w:type="dxa" w:w="1247"/>
            <w:shd w:val="clear" w:color="auto" w:fill="F2F8F7"/>
          </w:tcPr>
          <w:p>
            <w:pPr>
              <w:spacing w:before="60" w:after="60"/>
            </w:pPr>
            <w:r>
              <w:rPr>
                <w:sz w:val="18"/>
              </w:rPr>
              <w:t>✗ Critical</w:t>
            </w:r>
          </w:p>
        </w:tc>
      </w:tr>
      <w:tr>
        <w:tc>
          <w:tcPr>
            <w:tcW w:type="dxa" w:w="1814"/>
            <w:shd w:val="clear" w:color="auto" w:fill="FFFFFF"/>
          </w:tcPr>
          <w:p>
            <w:pPr>
              <w:spacing w:before="60" w:after="60"/>
            </w:pPr>
            <w:r>
              <w:rPr>
                <w:sz w:val="18"/>
              </w:rPr>
              <w:t>pH</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9.728</w:t>
            </w:r>
          </w:p>
        </w:tc>
        <w:tc>
          <w:tcPr>
            <w:tcW w:type="dxa" w:w="850"/>
            <w:shd w:val="clear" w:color="auto" w:fill="FFFFFF"/>
          </w:tcPr>
          <w:p>
            <w:pPr>
              <w:spacing w:before="60" w:after="60"/>
            </w:pPr>
            <w:r>
              <w:rPr>
                <w:sz w:val="18"/>
              </w:rPr>
              <w:t>0.099</w:t>
            </w:r>
          </w:p>
        </w:tc>
        <w:tc>
          <w:tcPr>
            <w:tcW w:type="dxa" w:w="794"/>
            <w:shd w:val="clear" w:color="auto" w:fill="FFFFFF"/>
          </w:tcPr>
          <w:p>
            <w:pPr>
              <w:spacing w:before="60" w:after="60"/>
            </w:pPr>
            <w:r>
              <w:rPr>
                <w:sz w:val="18"/>
              </w:rPr>
              <w:t>9.188</w:t>
            </w:r>
          </w:p>
        </w:tc>
        <w:tc>
          <w:tcPr>
            <w:tcW w:type="dxa" w:w="794"/>
            <w:shd w:val="clear" w:color="auto" w:fill="FFFFFF"/>
          </w:tcPr>
          <w:p>
            <w:pPr>
              <w:spacing w:before="60" w:after="60"/>
            </w:pPr>
            <w:r>
              <w:rPr>
                <w:sz w:val="18"/>
              </w:rPr>
              <w:t>9.944</w:t>
            </w:r>
          </w:p>
        </w:tc>
        <w:tc>
          <w:tcPr>
            <w:tcW w:type="dxa" w:w="964"/>
            <w:shd w:val="clear" w:color="auto" w:fill="FFFFFF"/>
          </w:tcPr>
          <w:p>
            <w:pPr>
              <w:spacing w:before="60" w:after="60"/>
            </w:pPr>
            <w:r>
              <w:rPr>
                <w:sz w:val="18"/>
              </w:rPr>
              <w:t>7.50</w:t>
            </w:r>
          </w:p>
        </w:tc>
        <w:tc>
          <w:tcPr>
            <w:tcW w:type="dxa" w:w="964"/>
            <w:shd w:val="clear" w:color="auto" w:fill="FFFFFF"/>
          </w:tcPr>
          <w:p>
            <w:pPr>
              <w:spacing w:before="60" w:after="60"/>
            </w:pPr>
            <w:r>
              <w:rPr>
                <w:sz w:val="18"/>
              </w:rPr>
              <w:t>10.00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ORP (mV)</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550.913</w:t>
            </w:r>
          </w:p>
        </w:tc>
        <w:tc>
          <w:tcPr>
            <w:tcW w:type="dxa" w:w="850"/>
            <w:shd w:val="clear" w:color="auto" w:fill="F2F8F7"/>
          </w:tcPr>
          <w:p>
            <w:pPr>
              <w:spacing w:before="60" w:after="60"/>
            </w:pPr>
            <w:r>
              <w:rPr>
                <w:sz w:val="18"/>
              </w:rPr>
              <w:t>36.295</w:t>
            </w:r>
          </w:p>
        </w:tc>
        <w:tc>
          <w:tcPr>
            <w:tcW w:type="dxa" w:w="794"/>
            <w:shd w:val="clear" w:color="auto" w:fill="F2F8F7"/>
          </w:tcPr>
          <w:p>
            <w:pPr>
              <w:spacing w:before="60" w:after="60"/>
            </w:pPr>
            <w:r>
              <w:rPr>
                <w:sz w:val="18"/>
              </w:rPr>
              <w:t>510.623</w:t>
            </w:r>
          </w:p>
        </w:tc>
        <w:tc>
          <w:tcPr>
            <w:tcW w:type="dxa" w:w="794"/>
            <w:shd w:val="clear" w:color="auto" w:fill="F2F8F7"/>
          </w:tcPr>
          <w:p>
            <w:pPr>
              <w:spacing w:before="60" w:after="60"/>
            </w:pPr>
            <w:r>
              <w:rPr>
                <w:sz w:val="18"/>
              </w:rPr>
              <w:t>826.388</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See chart</w:t>
            </w:r>
          </w:p>
        </w:tc>
      </w:tr>
      <w:tr>
        <w:tc>
          <w:tcPr>
            <w:tcW w:type="dxa" w:w="1814"/>
            <w:shd w:val="clear" w:color="auto" w:fill="FFFFFF"/>
          </w:tcPr>
          <w:p>
            <w:pPr>
              <w:spacing w:before="60" w:after="60"/>
            </w:pPr>
            <w:r>
              <w:rPr>
                <w:sz w:val="18"/>
              </w:rPr>
              <w:t>Turbidity (NTU)</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9.039</w:t>
            </w:r>
          </w:p>
        </w:tc>
        <w:tc>
          <w:tcPr>
            <w:tcW w:type="dxa" w:w="850"/>
            <w:shd w:val="clear" w:color="auto" w:fill="FFFFFF"/>
          </w:tcPr>
          <w:p>
            <w:pPr>
              <w:spacing w:before="60" w:after="60"/>
            </w:pPr>
            <w:r>
              <w:rPr>
                <w:sz w:val="18"/>
              </w:rPr>
              <w:t>1.498</w:t>
            </w:r>
          </w:p>
        </w:tc>
        <w:tc>
          <w:tcPr>
            <w:tcW w:type="dxa" w:w="794"/>
            <w:shd w:val="clear" w:color="auto" w:fill="FFFFFF"/>
          </w:tcPr>
          <w:p>
            <w:pPr>
              <w:spacing w:before="60" w:after="60"/>
            </w:pPr>
            <w:r>
              <w:rPr>
                <w:sz w:val="18"/>
              </w:rPr>
              <w:t>3.230</w:t>
            </w:r>
          </w:p>
        </w:tc>
        <w:tc>
          <w:tcPr>
            <w:tcW w:type="dxa" w:w="794"/>
            <w:shd w:val="clear" w:color="auto" w:fill="FFFFFF"/>
          </w:tcPr>
          <w:p>
            <w:pPr>
              <w:spacing w:before="60" w:after="60"/>
            </w:pPr>
            <w:r>
              <w:rPr>
                <w:sz w:val="18"/>
              </w:rPr>
              <w:t>17.186</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75.0</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Cell Fouling (%)</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7.070</w:t>
            </w:r>
          </w:p>
        </w:tc>
        <w:tc>
          <w:tcPr>
            <w:tcW w:type="dxa" w:w="850"/>
            <w:shd w:val="clear" w:color="auto" w:fill="F2F8F7"/>
          </w:tcPr>
          <w:p>
            <w:pPr>
              <w:spacing w:before="60" w:after="60"/>
            </w:pPr>
            <w:r>
              <w:rPr>
                <w:sz w:val="18"/>
              </w:rPr>
              <w:t>1.465</w:t>
            </w:r>
          </w:p>
        </w:tc>
        <w:tc>
          <w:tcPr>
            <w:tcW w:type="dxa" w:w="794"/>
            <w:shd w:val="clear" w:color="auto" w:fill="F2F8F7"/>
          </w:tcPr>
          <w:p>
            <w:pPr>
              <w:spacing w:before="60" w:after="60"/>
            </w:pPr>
            <w:r>
              <w:rPr>
                <w:sz w:val="18"/>
              </w:rPr>
              <w:t>3.051</w:t>
            </w:r>
          </w:p>
        </w:tc>
        <w:tc>
          <w:tcPr>
            <w:tcW w:type="dxa" w:w="794"/>
            <w:shd w:val="clear" w:color="auto" w:fill="F2F8F7"/>
          </w:tcPr>
          <w:p>
            <w:pPr>
              <w:spacing w:before="60" w:after="60"/>
            </w:pPr>
            <w:r>
              <w:rPr>
                <w:sz w:val="18"/>
              </w:rPr>
              <w:t>11.756</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30.0</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ℹ Info</w:t>
            </w:r>
          </w:p>
        </w:tc>
      </w:tr>
      <w:tr>
        <w:tc>
          <w:tcPr>
            <w:tcW w:type="dxa" w:w="1814"/>
            <w:shd w:val="clear" w:color="auto" w:fill="FFFFFF"/>
          </w:tcPr>
          <w:p>
            <w:pPr>
              <w:spacing w:before="60" w:after="60"/>
            </w:pPr>
            <w:r>
              <w:rPr>
                <w:sz w:val="18"/>
              </w:rPr>
              <w:t>FRC</w:t>
            </w:r>
          </w:p>
        </w:tc>
        <w:tc>
          <w:tcPr>
            <w:tcW w:type="dxa" w:w="1247"/>
            <w:shd w:val="clear" w:color="auto" w:fill="FFFFFF"/>
          </w:tcPr>
          <w:p>
            <w:pPr>
              <w:spacing w:before="60" w:after="60"/>
            </w:pPr>
            <w:r>
              <w:rPr>
                <w:sz w:val="18"/>
              </w:rPr>
              <w:t>Field Data</w:t>
            </w:r>
          </w:p>
        </w:tc>
        <w:tc>
          <w:tcPr>
            <w:tcW w:type="dxa" w:w="850"/>
            <w:shd w:val="clear" w:color="auto" w:fill="FFFFFF"/>
          </w:tcPr>
          <w:p>
            <w:pPr>
              <w:spacing w:before="60" w:after="60"/>
            </w:pPr>
            <w:r>
              <w:rPr>
                <w:sz w:val="18"/>
              </w:rPr>
              <w:t>Not avail.</w:t>
            </w:r>
          </w:p>
        </w:tc>
        <w:tc>
          <w:tcPr>
            <w:tcW w:type="dxa" w:w="850"/>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 Check</w:t>
            </w:r>
          </w:p>
        </w:tc>
      </w:tr>
    </w:tbl>
    <w:p/>
    <w:p>
      <w:r>
        <w:br w:type="page"/>
      </w:r>
    </w:p>
    <w:p>
      <w:pPr>
        <w:pBdr>
          <w:bottom w:val="single" w:sz="8" w:space="4" w:color="00857C"/>
        </w:pBdr>
        <w:spacing w:before="280" w:after="80"/>
      </w:pPr>
      <w:r>
        <w:rPr>
          <w:b/>
          <w:color w:val="00857C"/>
          <w:sz w:val="32"/>
        </w:rPr>
        <w:t>Charts and Comments</w:t>
      </w:r>
    </w:p>
    <w:p>
      <w:pPr>
        <w:spacing w:before="200" w:after="60"/>
      </w:pPr>
      <w:r>
        <w:rPr>
          <w:b/>
          <w:color w:val="005F58"/>
          <w:sz w:val="26"/>
        </w:rPr>
        <w:t>Corrosion Rate</w:t>
      </w:r>
    </w:p>
    <w:p>
      <w:pPr>
        <w:jc w:val="center"/>
      </w:pPr>
      <w:r>
        <w:drawing>
          <wp:inline xmlns:a="http://schemas.openxmlformats.org/drawingml/2006/main" xmlns:pic="http://schemas.openxmlformats.org/drawingml/2006/picture">
            <wp:extent cx="5486400" cy="2580468"/>
            <wp:docPr id="1" name="Picture 1"/>
            <wp:cNvGraphicFramePr>
              <a:graphicFrameLocks noChangeAspect="1"/>
            </wp:cNvGraphicFramePr>
            <a:graphic>
              <a:graphicData uri="http://schemas.openxmlformats.org/drawingml/2006/picture">
                <pic:pic>
                  <pic:nvPicPr>
                    <pic:cNvPr id="0" name="synthomer_chester_sc_us_may_2026_corrosion.png"/>
                    <pic:cNvPicPr/>
                  </pic:nvPicPr>
                  <pic:blipFill>
                    <a:blip r:embed="rId11"/>
                    <a:stretch>
                      <a:fillRect/>
                    </a:stretch>
                  </pic:blipFill>
                  <pic:spPr>
                    <a:xfrm>
                      <a:off x="0" y="0"/>
                      <a:ext cx="5486400" cy="2580468"/>
                    </a:xfrm>
                    <a:prstGeom prst="rect"/>
                  </pic:spPr>
                </pic:pic>
              </a:graphicData>
            </a:graphic>
          </wp:inline>
        </w:drawing>
      </w:r>
    </w:p>
    <w:p>
      <w:pPr>
        <w:spacing w:after="120"/>
        <w:jc w:val="center"/>
      </w:pPr>
      <w:r>
        <w:rPr>
          <w:i/>
          <w:color w:val="444444"/>
          <w:sz w:val="17"/>
        </w:rPr>
        <w:t>Figure 1: Corrosion Rate — May 2026</w:t>
      </w:r>
    </w:p>
    <w:p>
      <w:pPr>
        <w:spacing w:before="40" w:after="200"/>
      </w:pPr>
      <w:r>
        <w:rPr>
          <w:b/>
          <w:i/>
          <w:color w:val="333333"/>
          <w:sz w:val="19"/>
        </w:rPr>
        <w:t xml:space="preserve">Comment: </w:t>
      </w:r>
      <w:r>
        <w:rPr>
          <w:i/>
          <w:color w:val="333333"/>
          <w:sz w:val="19"/>
        </w:rPr>
        <w:t>Pattern: corrosion control is increasing, but remains good against the target.</w:t>
      </w:r>
      <w:r>
        <w:br/>
      </w:r>
      <w:r>
        <w:rPr>
          <w:i/>
          <w:color w:val="333333"/>
          <w:sz w:val="19"/>
        </w:rPr>
        <w:t>Mild steel corrosion increased across the month, while copper corrosion increased across the month.</w:t>
      </w:r>
      <w:r>
        <w:br/>
      </w:r>
      <w:r>
        <w:rPr>
          <w:i/>
          <w:color w:val="333333"/>
          <w:sz w:val="19"/>
        </w:rPr>
        <w:t>MS was within the 3.0 MPY target, and Cu was within the 0.5 MPY target.</w:t>
      </w:r>
      <w:r>
        <w:br/>
      </w:r>
      <w:r>
        <w:rPr>
          <w:i/>
          <w:color w:val="333333"/>
          <w:sz w:val="19"/>
        </w:rPr>
        <w:t>Likely reason: corrosion is still protected, but increasing movement should be checked against product and ORP trends.</w:t>
      </w:r>
    </w:p>
    <w:p>
      <w:pPr>
        <w:spacing w:before="200" w:after="60"/>
      </w:pPr>
      <w:r>
        <w:rPr>
          <w:b/>
          <w:color w:val="005F58"/>
          <w:sz w:val="26"/>
        </w:rPr>
        <w:t>Traced Product Control Trend</w:t>
      </w:r>
    </w:p>
    <w:p>
      <w:pPr>
        <w:jc w:val="center"/>
      </w:pPr>
      <w:r>
        <w:drawing>
          <wp:inline xmlns:a="http://schemas.openxmlformats.org/drawingml/2006/main" xmlns:pic="http://schemas.openxmlformats.org/drawingml/2006/picture">
            <wp:extent cx="5486400" cy="2582656"/>
            <wp:docPr id="2" name="Picture 2"/>
            <wp:cNvGraphicFramePr>
              <a:graphicFrameLocks noChangeAspect="1"/>
            </wp:cNvGraphicFramePr>
            <a:graphic>
              <a:graphicData uri="http://schemas.openxmlformats.org/drawingml/2006/picture">
                <pic:pic>
                  <pic:nvPicPr>
                    <pic:cNvPr id="0" name="synthomer_chester_sc_us_may_2026_traced_product.png"/>
                    <pic:cNvPicPr/>
                  </pic:nvPicPr>
                  <pic:blipFill>
                    <a:blip r:embed="rId12"/>
                    <a:stretch>
                      <a:fillRect/>
                    </a:stretch>
                  </pic:blipFill>
                  <pic:spPr>
                    <a:xfrm>
                      <a:off x="0" y="0"/>
                      <a:ext cx="5486400" cy="2582656"/>
                    </a:xfrm>
                    <a:prstGeom prst="rect"/>
                  </pic:spPr>
                </pic:pic>
              </a:graphicData>
            </a:graphic>
          </wp:inline>
        </w:drawing>
      </w:r>
    </w:p>
    <w:p>
      <w:pPr>
        <w:spacing w:after="120"/>
        <w:jc w:val="center"/>
      </w:pPr>
      <w:r>
        <w:rPr>
          <w:i/>
          <w:color w:val="444444"/>
          <w:sz w:val="17"/>
        </w:rPr>
        <w:t>Figure 2: Traced Product — May 2026</w:t>
      </w:r>
    </w:p>
    <w:p>
      <w:pPr>
        <w:spacing w:before="40" w:after="200"/>
      </w:pPr>
      <w:r>
        <w:rPr>
          <w:b/>
          <w:i/>
          <w:color w:val="333333"/>
          <w:sz w:val="19"/>
        </w:rPr>
        <w:t xml:space="preserve">Comment: </w:t>
      </w:r>
      <w:r>
        <w:rPr>
          <w:i/>
          <w:color w:val="333333"/>
          <w:sz w:val="19"/>
        </w:rPr>
        <w:t>Pattern: Traced Product is still not maintained at the end of the month.</w:t>
      </w:r>
      <w:r>
        <w:br/>
      </w:r>
      <w:r>
        <w:rPr>
          <w:i/>
          <w:color w:val="333333"/>
          <w:sz w:val="19"/>
        </w:rPr>
        <w:t>The trend moved from about 106.0 ppm at the start to 105.7 ppm at the end.</w:t>
      </w:r>
      <w:r>
        <w:br/>
      </w:r>
      <w:r>
        <w:rPr>
          <w:i/>
          <w:color w:val="333333"/>
          <w:sz w:val="19"/>
        </w:rPr>
        <w:t>The Traced Product average was above the configured range. The monthly in-range performance was 44.1%.</w:t>
      </w:r>
      <w:r>
        <w:br/>
      </w:r>
      <w:r>
        <w:rPr>
          <w:i/>
          <w:color w:val="333333"/>
          <w:sz w:val="19"/>
        </w:rPr>
        <w:t>Likely reason: conductivity was not maintained, so the Traced Product variation should be tied to conductivity control before assigning another cause.</w:t>
      </w:r>
    </w:p>
    <w:p>
      <w:pPr>
        <w:spacing w:before="200" w:after="60"/>
      </w:pPr>
      <w:r>
        <w:rPr>
          <w:b/>
          <w:color w:val="005F58"/>
          <w:sz w:val="26"/>
        </w:rPr>
        <w:t>ORP vs Copper Corrosion Rate</w:t>
      </w:r>
    </w:p>
    <w:p>
      <w:pPr>
        <w:jc w:val="center"/>
      </w:pPr>
      <w:r>
        <w:drawing>
          <wp:inline xmlns:a="http://schemas.openxmlformats.org/drawingml/2006/main" xmlns:pic="http://schemas.openxmlformats.org/drawingml/2006/picture">
            <wp:extent cx="5486400" cy="2584849"/>
            <wp:docPr id="3" name="Picture 3"/>
            <wp:cNvGraphicFramePr>
              <a:graphicFrameLocks noChangeAspect="1"/>
            </wp:cNvGraphicFramePr>
            <a:graphic>
              <a:graphicData uri="http://schemas.openxmlformats.org/drawingml/2006/picture">
                <pic:pic>
                  <pic:nvPicPr>
                    <pic:cNvPr id="0" name="synthomer_chester_sc_us_may_2026_orp_corrosion.png"/>
                    <pic:cNvPicPr/>
                  </pic:nvPicPr>
                  <pic:blipFill>
                    <a:blip r:embed="rId13"/>
                    <a:stretch>
                      <a:fillRect/>
                    </a:stretch>
                  </pic:blipFill>
                  <pic:spPr>
                    <a:xfrm>
                      <a:off x="0" y="0"/>
                      <a:ext cx="5486400" cy="2584849"/>
                    </a:xfrm>
                    <a:prstGeom prst="rect"/>
                  </pic:spPr>
                </pic:pic>
              </a:graphicData>
            </a:graphic>
          </wp:inline>
        </w:drawing>
      </w:r>
    </w:p>
    <w:p>
      <w:pPr>
        <w:spacing w:after="120"/>
        <w:jc w:val="center"/>
      </w:pPr>
      <w:r>
        <w:rPr>
          <w:i/>
          <w:color w:val="444444"/>
          <w:sz w:val="17"/>
        </w:rPr>
        <w:t>Figure 3: ORP vs Copper Corrosion Rate — May 2026</w:t>
      </w:r>
    </w:p>
    <w:p>
      <w:pPr>
        <w:spacing w:before="40" w:after="200"/>
      </w:pPr>
      <w:r>
        <w:rPr>
          <w:b/>
          <w:i/>
          <w:color w:val="333333"/>
          <w:sz w:val="19"/>
        </w:rPr>
        <w:t xml:space="preserve">Comment: </w:t>
      </w:r>
      <w:r>
        <w:rPr>
          <w:i/>
          <w:color w:val="333333"/>
          <w:sz w:val="19"/>
        </w:rPr>
        <w:t>Pattern: ORP response is stable across the month.</w:t>
      </w:r>
      <w:r>
        <w:br/>
      </w:r>
      <w:r>
        <w:rPr>
          <w:i/>
          <w:color w:val="333333"/>
          <w:sz w:val="19"/>
        </w:rPr>
        <w:t>ORP showed a visible spike response pattern during the month without relying on absolute ORP values.</w:t>
      </w:r>
      <w:r>
        <w:br/>
      </w:r>
      <w:r>
        <w:rPr>
          <w:i/>
          <w:color w:val="333333"/>
          <w:sz w:val="19"/>
        </w:rPr>
        <w:t>Copper corrosion increased across the month while the ORP pattern changed.</w:t>
      </w:r>
      <w:r>
        <w:br/>
      </w:r>
      <w:r>
        <w:rPr>
          <w:i/>
          <w:color w:val="333333"/>
          <w:sz w:val="19"/>
        </w:rPr>
        <w:t>Likely reason: biocide response is present and corrosion inhibitor is preventing a copper upset.</w:t>
      </w:r>
    </w:p>
    <w:p>
      <w:pPr>
        <w:spacing w:before="200" w:after="60"/>
      </w:pPr>
      <w:r>
        <w:rPr>
          <w:b/>
          <w:color w:val="005F58"/>
          <w:sz w:val="26"/>
        </w:rPr>
        <w:t>Oxidizing Biocide Pump Relay vs Copper Corrosion</w:t>
      </w:r>
    </w:p>
    <w:p>
      <w:pPr>
        <w:jc w:val="center"/>
      </w:pPr>
      <w:r>
        <w:drawing>
          <wp:inline xmlns:a="http://schemas.openxmlformats.org/drawingml/2006/main" xmlns:pic="http://schemas.openxmlformats.org/drawingml/2006/picture">
            <wp:extent cx="5486400" cy="2580468"/>
            <wp:docPr id="4" name="Picture 4"/>
            <wp:cNvGraphicFramePr>
              <a:graphicFrameLocks noChangeAspect="1"/>
            </wp:cNvGraphicFramePr>
            <a:graphic>
              <a:graphicData uri="http://schemas.openxmlformats.org/drawingml/2006/picture">
                <pic:pic>
                  <pic:nvPicPr>
                    <pic:cNvPr id="0" name="synthomer_chester_sc_us_may_2026_biocide_corrosion.png"/>
                    <pic:cNvPicPr/>
                  </pic:nvPicPr>
                  <pic:blipFill>
                    <a:blip r:embed="rId14"/>
                    <a:stretch>
                      <a:fillRect/>
                    </a:stretch>
                  </pic:blipFill>
                  <pic:spPr>
                    <a:xfrm>
                      <a:off x="0" y="0"/>
                      <a:ext cx="5486400" cy="2580468"/>
                    </a:xfrm>
                    <a:prstGeom prst="rect"/>
                  </pic:spPr>
                </pic:pic>
              </a:graphicData>
            </a:graphic>
          </wp:inline>
        </w:drawing>
      </w:r>
    </w:p>
    <w:p>
      <w:pPr>
        <w:spacing w:after="120"/>
        <w:jc w:val="center"/>
      </w:pPr>
      <w:r>
        <w:rPr>
          <w:i/>
          <w:color w:val="444444"/>
          <w:sz w:val="17"/>
        </w:rPr>
        <w:t>Figure 4: Oxidizing Biocide Pump Relay vs Copper Corrosion — May 2026</w:t>
      </w:r>
    </w:p>
    <w:p>
      <w:pPr>
        <w:spacing w:before="40" w:after="200"/>
      </w:pPr>
      <w:r>
        <w:rPr>
          <w:b/>
          <w:i/>
          <w:color w:val="333333"/>
          <w:sz w:val="19"/>
        </w:rPr>
        <w:t xml:space="preserve">Comment: </w:t>
      </w:r>
      <w:r>
        <w:rPr>
          <w:i/>
          <w:color w:val="333333"/>
          <w:sz w:val="19"/>
        </w:rPr>
        <w:t>Pattern: biocide feed versus copper corrosion is increasing, but remains good against the target.</w:t>
      </w:r>
      <w:r>
        <w:br/>
      </w:r>
      <w:r>
        <w:rPr>
          <w:i/>
          <w:color w:val="333333"/>
          <w:sz w:val="19"/>
        </w:rPr>
        <w:t>Biocide relay activity was present in the monthly trend.</w:t>
      </w:r>
      <w:r>
        <w:br/>
      </w:r>
      <w:r>
        <w:rPr>
          <w:i/>
          <w:color w:val="333333"/>
          <w:sz w:val="19"/>
        </w:rPr>
        <w:t>Relay activity increased across the month when the month is split into early and late periods.</w:t>
      </w:r>
      <w:r>
        <w:br/>
      </w:r>
      <w:r>
        <w:rPr>
          <w:i/>
          <w:color w:val="333333"/>
          <w:sz w:val="19"/>
        </w:rPr>
        <w:t>Likely reason: relay feed timing is adequate and copper corrosion remains protected.</w:t>
      </w:r>
    </w:p>
    <w:p>
      <w:pPr>
        <w:spacing w:before="200" w:after="60"/>
      </w:pPr>
      <w:r>
        <w:rPr>
          <w:b/>
          <w:color w:val="005F58"/>
          <w:sz w:val="26"/>
        </w:rPr>
        <w:t>Electrode Conductivity</w:t>
      </w:r>
    </w:p>
    <w:p>
      <w:pPr>
        <w:jc w:val="center"/>
      </w:pPr>
      <w:r>
        <w:drawing>
          <wp:inline xmlns:a="http://schemas.openxmlformats.org/drawingml/2006/main" xmlns:pic="http://schemas.openxmlformats.org/drawingml/2006/picture">
            <wp:extent cx="5486400" cy="2582656"/>
            <wp:docPr id="5" name="Picture 5"/>
            <wp:cNvGraphicFramePr>
              <a:graphicFrameLocks noChangeAspect="1"/>
            </wp:cNvGraphicFramePr>
            <a:graphic>
              <a:graphicData uri="http://schemas.openxmlformats.org/drawingml/2006/picture">
                <pic:pic>
                  <pic:nvPicPr>
                    <pic:cNvPr id="0" name="synthomer_chester_sc_us_may_2026_conductivity.png"/>
                    <pic:cNvPicPr/>
                  </pic:nvPicPr>
                  <pic:blipFill>
                    <a:blip r:embed="rId15"/>
                    <a:stretch>
                      <a:fillRect/>
                    </a:stretch>
                  </pic:blipFill>
                  <pic:spPr>
                    <a:xfrm>
                      <a:off x="0" y="0"/>
                      <a:ext cx="5486400" cy="2582656"/>
                    </a:xfrm>
                    <a:prstGeom prst="rect"/>
                  </pic:spPr>
                </pic:pic>
              </a:graphicData>
            </a:graphic>
          </wp:inline>
        </w:drawing>
      </w:r>
    </w:p>
    <w:p>
      <w:pPr>
        <w:spacing w:after="120"/>
        <w:jc w:val="center"/>
      </w:pPr>
      <w:r>
        <w:rPr>
          <w:i/>
          <w:color w:val="444444"/>
          <w:sz w:val="17"/>
        </w:rPr>
        <w:t>Figure 5: Electrode Conductivity — May 2026</w:t>
      </w:r>
    </w:p>
    <w:p>
      <w:pPr>
        <w:spacing w:before="40" w:after="200"/>
      </w:pPr>
      <w:r>
        <w:rPr>
          <w:b/>
          <w:i/>
          <w:color w:val="333333"/>
          <w:sz w:val="19"/>
        </w:rPr>
        <w:t xml:space="preserve">Comment: </w:t>
      </w:r>
      <w:r>
        <w:rPr>
          <w:i/>
          <w:color w:val="333333"/>
          <w:sz w:val="19"/>
        </w:rPr>
        <w:t>Pattern: conductivity is decreasing and needs attention against the target.</w:t>
      </w:r>
      <w:r>
        <w:br/>
      </w:r>
      <w:r>
        <w:rPr>
          <w:i/>
          <w:color w:val="333333"/>
          <w:sz w:val="19"/>
        </w:rPr>
        <w:t>The trend moved from about 900.9 µS/cm at the start to 831.1 µS/cm at the end.</w:t>
      </w:r>
      <w:r>
        <w:br/>
      </w:r>
      <w:r>
        <w:rPr>
          <w:i/>
          <w:color w:val="333333"/>
          <w:sz w:val="19"/>
        </w:rPr>
        <w:t>The conductivity average was below the configured range. The monthly in-range performance was 19.6%.</w:t>
      </w:r>
      <w:r>
        <w:br/>
      </w:r>
      <w:r>
        <w:rPr>
          <w:i/>
          <w:color w:val="333333"/>
          <w:sz w:val="19"/>
        </w:rPr>
        <w:t>Likely reason: dilution, water loss, excess blowdown, or makeup changes are keeping conductivity low.</w:t>
      </w:r>
    </w:p>
    <w:p>
      <w:r>
        <w:br w:type="page"/>
      </w:r>
    </w:p>
    <w:p>
      <w:pPr>
        <w:pBdr>
          <w:bottom w:val="single" w:sz="8" w:space="4" w:color="00857C"/>
        </w:pBdr>
        <w:spacing w:before="280" w:after="80"/>
      </w:pPr>
      <w:r>
        <w:rPr>
          <w:b/>
          <w:color w:val="00857C"/>
          <w:sz w:val="32"/>
        </w:rPr>
        <w:t>Closing Summary</w:t>
      </w:r>
    </w:p>
    <w:p>
      <w:pPr>
        <w:spacing w:before="80" w:after="120"/>
        <w:jc w:val="left"/>
      </w:pPr>
      <w:r>
        <w:rPr>
          <w:b w:val="0"/>
          <w:i w:val="0"/>
          <w:sz w:val="20"/>
        </w:rPr>
        <w:t>Overall, the system maintained good corrosion control, stable microbial response, and good water efficiency during May 2026. The primary follow-up item is Traced Product overfeeding, which points to product feed or fluorometer calibration review during the upcoming service visit. Addressing the dosing setup should help return product concentration to the Controller Setpoint range while maintaining the current corrosion, microbial, and water efficiency performance.</w:t>
      </w:r>
    </w:p>
    <w:sectPr w:rsidR="00FC693F" w:rsidRPr="0006063C" w:rsidSect="00034616">
      <w:headerReference w:type="default" r:id="rId9"/>
      <w:footerReference w:type="default" r:id="rId10"/>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44444"/>
        <w:sz w:val="16"/>
      </w:rPr>
      <w:t>Buckman Digital Water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00857C"/>
      </w:pBdr>
    </w:pPr>
    <w:r>
      <w:rPr>
        <w:color w:val="444444"/>
        <w:sz w:val="16"/>
      </w:rPr>
      <w:t>Buckman  |  Synthomer Chester SC (US)  |  May 2026 Cooling Water Performance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