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60"/>
        <w:jc w:val="center"/>
      </w:pPr>
      <w:r>
        <w:rPr>
          <w:b/>
          <w:i w:val="0"/>
          <w:color w:val="444444"/>
          <w:sz w:val="20"/>
        </w:rPr>
        <w:t>BUCKMAN DIGITAL WATER</w:t>
      </w:r>
    </w:p>
    <w:p>
      <w:pPr>
        <w:spacing w:before="60" w:after="60"/>
        <w:jc w:val="center"/>
      </w:pPr>
      <w:r>
        <w:rPr>
          <w:b/>
          <w:i w:val="0"/>
          <w:sz w:val="40"/>
        </w:rPr>
        <w:t>Monthly Cooling Water Performance Report</w:t>
      </w:r>
    </w:p>
    <w:p>
      <w:pPr>
        <w:spacing w:before="60" w:after="200"/>
        <w:jc w:val="center"/>
      </w:pPr>
      <w:r>
        <w:rPr>
          <w:b/>
          <w:i w:val="0"/>
          <w:color w:val="00857C"/>
          <w:sz w:val="30"/>
        </w:rPr>
        <w:t>St. Joseph's Hospital Savannah GA (US)</w:t>
      </w:r>
    </w:p>
    <w:p>
      <w:pPr>
        <w:spacing w:before="60" w:after="360"/>
        <w:jc w:val="center"/>
      </w:pPr>
      <w:r>
        <w:rPr>
          <w:b w:val="0"/>
          <w:i w:val="0"/>
          <w:color w:val="444444"/>
          <w:sz w:val="20"/>
        </w:rPr>
        <w:t>Reporting Month: July 2026</w:t>
      </w:r>
    </w:p>
    <w:tbl>
      <w:tblPr>
        <w:tblStyle w:val="TableGrid"/>
        <w:tblW w:type="auto" w:w="0"/>
        <w:tblLook w:firstColumn="1" w:firstRow="1" w:lastColumn="0" w:lastRow="0" w:noHBand="0" w:noVBand="1" w:val="04A0"/>
      </w:tblPr>
      <w:tblGrid>
        <w:gridCol w:w="2521"/>
        <w:gridCol w:w="2521"/>
        <w:gridCol w:w="2521"/>
        <w:gridCol w:w="2521"/>
      </w:tblGrid>
      <w:tr>
        <w:tc>
          <w:tcPr>
            <w:tcW w:type="dxa" w:w="3118"/>
            <w:shd w:val="clear" w:color="auto" w:fill="00857C"/>
          </w:tcPr>
          <w:p>
            <w:pPr>
              <w:spacing w:before="60" w:after="60"/>
            </w:pPr>
            <w:r>
              <w:rPr>
                <w:b/>
                <w:color w:val="FFFFFF"/>
                <w:sz w:val="18"/>
              </w:rPr>
              <w:t>Customer / Site</w:t>
            </w:r>
          </w:p>
        </w:tc>
        <w:tc>
          <w:tcPr>
            <w:tcW w:type="dxa" w:w="1701"/>
            <w:shd w:val="clear" w:color="auto" w:fill="00857C"/>
          </w:tcPr>
          <w:p>
            <w:pPr>
              <w:spacing w:before="60" w:after="60"/>
            </w:pPr>
            <w:r>
              <w:rPr>
                <w:b/>
                <w:color w:val="FFFFFF"/>
                <w:sz w:val="18"/>
              </w:rPr>
              <w:t>System</w:t>
            </w:r>
          </w:p>
        </w:tc>
        <w:tc>
          <w:tcPr>
            <w:tcW w:type="dxa" w:w="1984"/>
            <w:shd w:val="clear" w:color="auto" w:fill="00857C"/>
          </w:tcPr>
          <w:p>
            <w:pPr>
              <w:spacing w:before="60" w:after="60"/>
            </w:pPr>
            <w:r>
              <w:rPr>
                <w:b/>
                <w:color w:val="FFFFFF"/>
                <w:sz w:val="18"/>
              </w:rPr>
              <w:t>Controller</w:t>
            </w:r>
          </w:p>
        </w:tc>
        <w:tc>
          <w:tcPr>
            <w:tcW w:type="dxa" w:w="2551"/>
            <w:shd w:val="clear" w:color="auto" w:fill="00857C"/>
          </w:tcPr>
          <w:p>
            <w:pPr>
              <w:spacing w:before="60" w:after="60"/>
            </w:pPr>
            <w:r>
              <w:rPr>
                <w:b/>
                <w:color w:val="FFFFFF"/>
                <w:sz w:val="18"/>
              </w:rPr>
              <w:t>Prepared For</w:t>
            </w:r>
          </w:p>
        </w:tc>
      </w:tr>
      <w:tr>
        <w:tc>
          <w:tcPr>
            <w:tcW w:type="dxa" w:w="3118"/>
            <w:shd w:val="clear" w:color="auto" w:fill="FFFFFF"/>
          </w:tcPr>
          <w:p>
            <w:pPr>
              <w:spacing w:before="60" w:after="60"/>
            </w:pPr>
            <w:r>
              <w:rPr>
                <w:sz w:val="18"/>
              </w:rPr>
              <w:t>St. Joseph's Hospital Savannah GA (US)</w:t>
            </w:r>
          </w:p>
        </w:tc>
        <w:tc>
          <w:tcPr>
            <w:tcW w:type="dxa" w:w="1701"/>
            <w:shd w:val="clear" w:color="auto" w:fill="FFFFFF"/>
          </w:tcPr>
          <w:p>
            <w:pPr>
              <w:spacing w:before="60" w:after="60"/>
            </w:pPr>
            <w:r>
              <w:rPr>
                <w:sz w:val="18"/>
              </w:rPr>
              <w:t>Cooling Tower</w:t>
            </w:r>
          </w:p>
        </w:tc>
        <w:tc>
          <w:tcPr>
            <w:tcW w:type="dxa" w:w="1984"/>
            <w:shd w:val="clear" w:color="auto" w:fill="FFFFFF"/>
          </w:tcPr>
          <w:p>
            <w:pPr>
              <w:spacing w:before="60" w:after="60"/>
            </w:pPr>
            <w:r>
              <w:rPr>
                <w:sz w:val="18"/>
              </w:rPr>
              <w:t>84253FAB8CC5</w:t>
            </w:r>
          </w:p>
        </w:tc>
        <w:tc>
          <w:tcPr>
            <w:tcW w:type="dxa" w:w="2551"/>
            <w:shd w:val="clear" w:color="auto" w:fill="FFFFFF"/>
          </w:tcPr>
          <w:p>
            <w:pPr>
              <w:spacing w:before="60" w:after="60"/>
            </w:pPr>
            <w:r>
              <w:rPr>
                <w:sz w:val="18"/>
              </w:rPr>
              <w:t>Monthly Performance Review</w:t>
            </w:r>
          </w:p>
        </w:tc>
      </w:tr>
    </w:tbl>
    <w:p/>
    <w:p>
      <w:pPr>
        <w:spacing w:before="200" w:after="120"/>
        <w:jc w:val="left"/>
      </w:pPr>
    </w:p>
    <w:p>
      <w:pPr>
        <w:spacing w:before="80" w:after="120"/>
        <w:jc w:val="center"/>
      </w:pPr>
      <w:r>
        <w:rPr>
          <w:b w:val="0"/>
          <w:i w:val="0"/>
          <w:color w:val="444444"/>
          <w:sz w:val="19"/>
        </w:rPr>
        <w:t>This report summarises corrosion control, scale control, microbial control, water efficiency, product efficiency, and proactive system support for St. Joseph's Hospital Savannah GA (US), July 2026, using controller setpoints, telemetry KPIs, field data, and service note records.</w:t>
      </w:r>
    </w:p>
    <w:p>
      <w:pPr>
        <w:spacing w:before="200" w:after="120"/>
        <w:jc w:val="left"/>
      </w:pPr>
    </w:p>
    <w:tbl>
      <w:tblPr>
        <w:tblStyle w:val="TableGrid"/>
        <w:tblW w:type="auto" w:w="0"/>
        <w:tblLook w:firstColumn="1" w:firstRow="1" w:lastColumn="0" w:lastRow="0" w:noHBand="0" w:noVBand="1" w:val="04A0"/>
      </w:tblPr>
      <w:tblGrid>
        <w:gridCol w:w="3362"/>
        <w:gridCol w:w="3362"/>
        <w:gridCol w:w="3362"/>
      </w:tblGrid>
      <w:tr>
        <w:tc>
          <w:tcPr>
            <w:tcW w:type="dxa" w:w="3118"/>
            <w:shd w:val="clear" w:color="auto" w:fill="00857C"/>
          </w:tcPr>
          <w:p>
            <w:pPr>
              <w:spacing w:before="60" w:after="60"/>
            </w:pPr>
            <w:r>
              <w:rPr>
                <w:b/>
                <w:color w:val="FFFFFF"/>
                <w:sz w:val="18"/>
              </w:rPr>
              <w:t>Prepared By</w:t>
            </w:r>
          </w:p>
        </w:tc>
        <w:tc>
          <w:tcPr>
            <w:tcW w:type="dxa" w:w="2835"/>
            <w:shd w:val="clear" w:color="auto" w:fill="00857C"/>
          </w:tcPr>
          <w:p>
            <w:pPr>
              <w:spacing w:before="60" w:after="60"/>
            </w:pPr>
            <w:r>
              <w:rPr>
                <w:b/>
                <w:color w:val="FFFFFF"/>
                <w:sz w:val="18"/>
              </w:rPr>
              <w:t>Prepared Date</w:t>
            </w:r>
          </w:p>
        </w:tc>
        <w:tc>
          <w:tcPr>
            <w:tcW w:type="dxa" w:w="3402"/>
            <w:shd w:val="clear" w:color="auto" w:fill="00857C"/>
          </w:tcPr>
          <w:p>
            <w:pPr>
              <w:spacing w:before="60" w:after="60"/>
            </w:pPr>
            <w:r>
              <w:rPr>
                <w:b/>
                <w:color w:val="FFFFFF"/>
                <w:sz w:val="18"/>
              </w:rPr>
              <w:t>Report Status</w:t>
            </w:r>
          </w:p>
        </w:tc>
      </w:tr>
      <w:tr>
        <w:tc>
          <w:tcPr>
            <w:tcW w:type="dxa" w:w="3118"/>
            <w:shd w:val="clear" w:color="auto" w:fill="FFFFFF"/>
          </w:tcPr>
          <w:p>
            <w:pPr>
              <w:spacing w:before="60" w:after="60"/>
            </w:pPr>
            <w:r>
              <w:rPr>
                <w:sz w:val="18"/>
              </w:rPr>
              <w:t>Buckman Digital Water</w:t>
            </w:r>
          </w:p>
        </w:tc>
        <w:tc>
          <w:tcPr>
            <w:tcW w:type="dxa" w:w="2835"/>
            <w:shd w:val="clear" w:color="auto" w:fill="FFFFFF"/>
          </w:tcPr>
          <w:p>
            <w:pPr>
              <w:spacing w:before="60" w:after="60"/>
            </w:pPr>
            <w:r>
              <w:rPr>
                <w:sz w:val="18"/>
              </w:rPr>
              <w:t>22 September 2026</w:t>
            </w:r>
          </w:p>
        </w:tc>
        <w:tc>
          <w:tcPr>
            <w:tcW w:type="dxa" w:w="3402"/>
            <w:shd w:val="clear" w:color="auto" w:fill="FFFFFF"/>
          </w:tcPr>
          <w:p>
            <w:pPr>
              <w:spacing w:before="60" w:after="60"/>
            </w:pPr>
            <w:r>
              <w:rPr>
                <w:sz w:val="18"/>
              </w:rPr>
              <w:t>Draft</w:t>
            </w:r>
          </w:p>
        </w:tc>
      </w:tr>
    </w:tbl>
    <w:p/>
    <w:p>
      <w:r>
        <w:br w:type="page"/>
      </w:r>
    </w:p>
    <w:p>
      <w:pPr>
        <w:pBdr>
          <w:bottom w:val="single" w:sz="8" w:space="4" w:color="00857C"/>
        </w:pBdr>
        <w:spacing w:before="280" w:after="80"/>
      </w:pPr>
      <w:r>
        <w:rPr>
          <w:b/>
          <w:color w:val="00857C"/>
          <w:sz w:val="32"/>
        </w:rPr>
        <w:t>Executive Summary</w:t>
      </w:r>
    </w:p>
    <w:p>
      <w:pPr>
        <w:spacing w:before="200" w:after="60"/>
      </w:pPr>
      <w:r>
        <w:rPr>
          <w:b/>
          <w:color w:val="005F58"/>
          <w:sz w:val="26"/>
        </w:rPr>
        <w:t>System Health Check</w:t>
      </w:r>
    </w:p>
    <w:p>
      <w:pPr>
        <w:spacing w:before="160" w:after="40"/>
      </w:pPr>
      <w:r>
        <w:rPr>
          <w:b/>
          <w:color w:val="222222"/>
          <w:sz w:val="22"/>
        </w:rPr>
        <w:t>Corrosion Control</w:t>
      </w:r>
    </w:p>
    <w:p>
      <w:pPr>
        <w:spacing w:before="60" w:after="100"/>
      </w:pPr>
      <w:r>
        <w:rPr>
          <w:b/>
          <w:sz w:val="20"/>
        </w:rPr>
        <w:t xml:space="preserve">Status: </w:t>
      </w:r>
      <w:r>
        <w:rPr>
          <w:b/>
          <w:color w:val="00857C"/>
          <w:sz w:val="20"/>
        </w:rPr>
        <w:t>Excellent</w:t>
      </w:r>
    </w:p>
    <w:p>
      <w:pPr>
        <w:spacing w:before="80" w:after="120"/>
        <w:jc w:val="left"/>
      </w:pPr>
      <w:r>
        <w:rPr>
          <w:b w:val="0"/>
          <w:i w:val="0"/>
          <w:sz w:val="20"/>
        </w:rPr>
        <w:t>During the reporting period, the system remained under good control. The mild steel and copper corrosion rates averaged 0.10 mpy and 0.02 mpy, respectively, both of which are well within the recommended limits of &lt;5 mpy and &lt;0.5 mpy.</w:t>
      </w:r>
    </w:p>
    <w:p>
      <w:pPr>
        <w:spacing w:before="160" w:after="40"/>
      </w:pPr>
      <w:r>
        <w:rPr>
          <w:b/>
          <w:color w:val="222222"/>
          <w:sz w:val="22"/>
        </w:rPr>
        <w:t>Scale Control</w:t>
      </w:r>
    </w:p>
    <w:p>
      <w:pPr>
        <w:spacing w:before="60" w:after="100"/>
      </w:pPr>
      <w:r>
        <w:rPr>
          <w:b/>
          <w:sz w:val="20"/>
        </w:rPr>
        <w:t xml:space="preserve">Status: </w:t>
      </w:r>
      <w:r>
        <w:rPr>
          <w:b/>
          <w:color w:val="B8860B"/>
          <w:sz w:val="20"/>
        </w:rPr>
        <w:t>Acceptable</w:t>
      </w:r>
    </w:p>
    <w:p>
      <w:pPr>
        <w:spacing w:before="80" w:after="120"/>
        <w:jc w:val="left"/>
      </w:pPr>
      <w:r>
        <w:rPr>
          <w:b w:val="0"/>
          <w:i w:val="0"/>
          <w:sz w:val="20"/>
        </w:rPr>
        <w:t>Traced Product was within the recommended range for 47.9% of the reporting month. Polymer consumption rate averaged 83.9% and decreased from 88.3% at the start of the month to 77.8% at the end of the month. Conductivity was within the recommended range for 83.7% of the reporting month. The product was higher than target during the initial part of the month and moved closer to the control band later, but end-of-month control was 49.9% within range, so it is not yet consistently maintained well. The end-of-month traced product deviation from setpoint is minimal, so the control logic will be optimised. Conductivity remained stable and maintained within its setpoint configuration range, so the Traced Product deviation is not linked to water loss or dilution and should be addressed through product control optimisation.</w:t>
      </w:r>
    </w:p>
    <w:p>
      <w:pPr>
        <w:spacing w:before="160" w:after="40"/>
      </w:pPr>
      <w:r>
        <w:rPr>
          <w:b/>
          <w:color w:val="222222"/>
          <w:sz w:val="22"/>
        </w:rPr>
        <w:t>Microbial Control</w:t>
      </w:r>
    </w:p>
    <w:p>
      <w:pPr>
        <w:spacing w:before="60" w:after="100"/>
      </w:pPr>
      <w:r>
        <w:rPr>
          <w:b/>
          <w:sz w:val="20"/>
        </w:rPr>
        <w:t xml:space="preserve">Status: </w:t>
      </w:r>
      <w:r>
        <w:rPr>
          <w:b/>
          <w:color w:val="B8860B"/>
          <w:sz w:val="20"/>
        </w:rPr>
        <w:t>Acceptable</w:t>
      </w:r>
    </w:p>
    <w:p>
      <w:pPr>
        <w:spacing w:before="80" w:after="120"/>
        <w:jc w:val="left"/>
      </w:pPr>
      <w:r>
        <w:rPr>
          <w:b w:val="0"/>
          <w:i w:val="0"/>
          <w:sz w:val="20"/>
        </w:rPr>
        <w:t>ORP spike response of at least 50 mV was observed at least two times per week during oxidizing biocide application, indicating good microbial dosage. FRC and dip-slide will be analysed in the upcoming visit to ensure good microbial control.</w:t>
      </w:r>
    </w:p>
    <w:p>
      <w:pPr>
        <w:spacing w:before="200" w:after="60"/>
      </w:pPr>
      <w:r>
        <w:rPr>
          <w:b/>
          <w:color w:val="005F58"/>
          <w:sz w:val="26"/>
        </w:rPr>
        <w:t>Water Efficiency</w:t>
      </w:r>
    </w:p>
    <w:p>
      <w:pPr>
        <w:spacing w:before="60" w:after="100"/>
      </w:pPr>
      <w:r>
        <w:rPr>
          <w:b/>
          <w:sz w:val="20"/>
        </w:rPr>
        <w:t xml:space="preserve">Status: </w:t>
      </w:r>
      <w:r>
        <w:rPr>
          <w:b/>
          <w:color w:val="00857C"/>
          <w:sz w:val="20"/>
        </w:rPr>
        <w:t>Excellent</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1928"/>
            <w:shd w:val="clear" w:color="auto" w:fill="00857C"/>
          </w:tcPr>
          <w:p>
            <w:pPr>
              <w:spacing w:before="60" w:after="60"/>
            </w:pPr>
            <w:r>
              <w:rPr>
                <w:b/>
                <w:color w:val="FFFFFF"/>
                <w:sz w:val="18"/>
              </w:rPr>
              <w:t>MU Conductivity</w:t>
            </w:r>
          </w:p>
        </w:tc>
        <w:tc>
          <w:tcPr>
            <w:tcW w:type="dxa" w:w="1928"/>
            <w:shd w:val="clear" w:color="auto" w:fill="00857C"/>
          </w:tcPr>
          <w:p>
            <w:pPr>
              <w:spacing w:before="60" w:after="60"/>
            </w:pPr>
            <w:r>
              <w:rPr>
                <w:b/>
                <w:color w:val="FFFFFF"/>
                <w:sz w:val="18"/>
              </w:rPr>
              <w:t>Target COC</w:t>
            </w:r>
          </w:p>
        </w:tc>
        <w:tc>
          <w:tcPr>
            <w:tcW w:type="dxa" w:w="1928"/>
            <w:shd w:val="clear" w:color="auto" w:fill="00857C"/>
          </w:tcPr>
          <w:p>
            <w:pPr>
              <w:spacing w:before="60" w:after="60"/>
            </w:pPr>
            <w:r>
              <w:rPr>
                <w:b/>
                <w:color w:val="FFFFFF"/>
                <w:sz w:val="18"/>
              </w:rPr>
              <w:t>Actual COC</w:t>
            </w:r>
          </w:p>
        </w:tc>
        <w:tc>
          <w:tcPr>
            <w:tcW w:type="dxa" w:w="1928"/>
            <w:shd w:val="clear" w:color="auto" w:fill="00857C"/>
          </w:tcPr>
          <w:p>
            <w:pPr>
              <w:spacing w:before="60" w:after="60"/>
            </w:pPr>
            <w:r>
              <w:rPr>
                <w:b/>
                <w:color w:val="FFFFFF"/>
                <w:sz w:val="18"/>
              </w:rPr>
              <w:t>Deviation</w:t>
            </w:r>
          </w:p>
        </w:tc>
        <w:tc>
          <w:tcPr>
            <w:tcW w:type="dxa" w:w="1928"/>
            <w:shd w:val="clear" w:color="auto" w:fill="00857C"/>
          </w:tcPr>
          <w:p>
            <w:pPr>
              <w:spacing w:before="60" w:after="60"/>
            </w:pPr>
            <w:r>
              <w:rPr>
                <w:b/>
                <w:color w:val="FFFFFF"/>
                <w:sz w:val="18"/>
              </w:rPr>
              <w:t>Status</w:t>
            </w:r>
          </w:p>
        </w:tc>
      </w:tr>
      <w:tr>
        <w:tc>
          <w:tcPr>
            <w:tcW w:type="dxa" w:w="1928"/>
            <w:shd w:val="clear" w:color="auto" w:fill="FFFFFF"/>
          </w:tcPr>
          <w:p>
            <w:pPr>
              <w:spacing w:before="60" w:after="60"/>
            </w:pPr>
            <w:r>
              <w:rPr>
                <w:sz w:val="18"/>
              </w:rPr>
              <w:t>224.4 µS/cm</w:t>
            </w:r>
          </w:p>
        </w:tc>
        <w:tc>
          <w:tcPr>
            <w:tcW w:type="dxa" w:w="1928"/>
            <w:shd w:val="clear" w:color="auto" w:fill="FFFFFF"/>
          </w:tcPr>
          <w:p>
            <w:pPr>
              <w:spacing w:before="60" w:after="60"/>
            </w:pPr>
            <w:r>
              <w:rPr>
                <w:sz w:val="18"/>
              </w:rPr>
              <w:t>2.67</w:t>
            </w:r>
          </w:p>
        </w:tc>
        <w:tc>
          <w:tcPr>
            <w:tcW w:type="dxa" w:w="1928"/>
            <w:shd w:val="clear" w:color="auto" w:fill="FFFFFF"/>
          </w:tcPr>
          <w:p>
            <w:pPr>
              <w:spacing w:before="60" w:after="60"/>
            </w:pPr>
            <w:r>
              <w:rPr>
                <w:sz w:val="18"/>
              </w:rPr>
              <w:t>2.66</w:t>
            </w:r>
          </w:p>
        </w:tc>
        <w:tc>
          <w:tcPr>
            <w:tcW w:type="dxa" w:w="1928"/>
            <w:shd w:val="clear" w:color="auto" w:fill="FFFFFF"/>
          </w:tcPr>
          <w:p>
            <w:pPr>
              <w:spacing w:before="60" w:after="60"/>
            </w:pPr>
            <w:r>
              <w:rPr>
                <w:sz w:val="18"/>
              </w:rPr>
              <w:t>0.4%</w:t>
            </w:r>
          </w:p>
        </w:tc>
        <w:tc>
          <w:tcPr>
            <w:tcW w:type="dxa" w:w="1928"/>
            <w:shd w:val="clear" w:color="auto" w:fill="FFFFFF"/>
          </w:tcPr>
          <w:p>
            <w:pPr>
              <w:spacing w:before="60" w:after="60"/>
            </w:pPr>
            <w:r>
              <w:rPr>
                <w:sz w:val="18"/>
              </w:rPr>
              <w:t>Excellent</w:t>
            </w:r>
          </w:p>
        </w:tc>
      </w:tr>
    </w:tbl>
    <w:p/>
    <w:p>
      <w:pPr>
        <w:spacing w:before="80" w:after="120"/>
        <w:jc w:val="left"/>
      </w:pPr>
      <w:r>
        <w:rPr>
          <w:b w:val="0"/>
          <w:i w:val="0"/>
          <w:sz w:val="20"/>
        </w:rPr>
        <w:t>The average conductivity is 597.6 µS/cm, which is within the recommended setpoint range of 570-630 µS/cm. Conductivity remained broadly stable from about 596.3 µS/cm at the start of the month to 599.0 µS/cm at the end. Recommendation: makeup and blowdown control are balanced, so tower cycles remained steady.</w:t>
      </w:r>
    </w:p>
    <w:p>
      <w:pPr>
        <w:spacing w:before="200" w:after="60"/>
      </w:pPr>
      <w:r>
        <w:rPr>
          <w:b/>
          <w:color w:val="005F58"/>
          <w:sz w:val="26"/>
        </w:rPr>
        <w:t>Product Efficiency</w:t>
      </w:r>
    </w:p>
    <w:p>
      <w:pPr>
        <w:spacing w:before="60" w:after="100"/>
      </w:pPr>
      <w:r>
        <w:rPr>
          <w:b/>
          <w:sz w:val="20"/>
        </w:rPr>
        <w:t xml:space="preserve">Status: </w:t>
      </w:r>
      <w:r>
        <w:rPr>
          <w:b/>
          <w:color w:val="B8860B"/>
          <w:sz w:val="20"/>
        </w:rPr>
        <w:t>Acceptable</w:t>
      </w:r>
    </w:p>
    <w:p>
      <w:pPr>
        <w:spacing w:before="80" w:after="120"/>
        <w:jc w:val="left"/>
      </w:pPr>
      <w:r>
        <w:rPr>
          <w:b w:val="0"/>
          <w:i w:val="0"/>
          <w:sz w:val="20"/>
        </w:rPr>
        <w:t>Product efficiency needs continued attention because Traced Product was within the Controller Setpoint range for only 47.9% of the reporting month. Feed control logic should be optimised and product control should be verified during the upcoming service visit.</w:t>
      </w:r>
    </w:p>
    <w:p>
      <w:pPr>
        <w:spacing w:before="200" w:after="60"/>
      </w:pPr>
      <w:r>
        <w:rPr>
          <w:b/>
          <w:color w:val="005F58"/>
          <w:sz w:val="26"/>
        </w:rPr>
        <w:t>Proactive System Support</w:t>
      </w:r>
    </w:p>
    <w:p>
      <w:pPr>
        <w:spacing w:before="80" w:after="120"/>
        <w:jc w:val="left"/>
      </w:pPr>
      <w:r>
        <w:rPr>
          <w:b w:val="0"/>
          <w:i w:val="0"/>
          <w:sz w:val="20"/>
        </w:rPr>
        <w:t>Recommended follow-up: Traced Product was not maintained while conductivity was maintained, so verify product inventory, pump prime, feed delivery, and fluorometer calibration. Check FRC during the upcoming service visit to confirm oxidizing biocide residual. Measure dip-slide CFU during the upcoming service visit to confirm microbial control. Verify phosphate and silica residuals during the next service visit.</w:t>
      </w:r>
    </w:p>
    <w:p>
      <w:r>
        <w:br w:type="page"/>
      </w:r>
    </w:p>
    <w:p>
      <w:pPr>
        <w:pBdr>
          <w:bottom w:val="single" w:sz="8" w:space="4" w:color="00857C"/>
        </w:pBdr>
        <w:spacing w:before="280" w:after="80"/>
      </w:pPr>
      <w:r>
        <w:rPr>
          <w:b/>
          <w:color w:val="00857C"/>
          <w:sz w:val="32"/>
        </w:rPr>
        <w:t>Performance Summary</w:t>
      </w:r>
    </w:p>
    <w:p>
      <w:pPr>
        <w:spacing w:before="80" w:after="120"/>
        <w:jc w:val="left"/>
      </w:pPr>
      <w:r>
        <w:rPr>
          <w:b w:val="0"/>
          <w:i/>
          <w:color w:val="444444"/>
          <w:sz w:val="18"/>
        </w:rPr>
        <w:t>Controller Setpoints are used as control limits below. % In Range is calculated from the full reporting month telemetry.</w:t>
      </w:r>
    </w:p>
    <w:tbl>
      <w:tblPr>
        <w:tblStyle w:val="TableGrid"/>
        <w:tblW w:type="auto" w:w="0"/>
        <w:tblLook w:firstColumn="1" w:firstRow="1" w:lastColumn="0" w:lastRow="0" w:noHBand="0" w:noVBand="1" w:val="04A0"/>
      </w:tblPr>
      <w:tblGrid>
        <w:gridCol w:w="1441"/>
        <w:gridCol w:w="1441"/>
        <w:gridCol w:w="1441"/>
        <w:gridCol w:w="1441"/>
        <w:gridCol w:w="1441"/>
        <w:gridCol w:w="1441"/>
        <w:gridCol w:w="1441"/>
      </w:tblGrid>
      <w:tr>
        <w:tc>
          <w:tcPr>
            <w:tcW w:type="dxa" w:w="2041"/>
            <w:shd w:val="clear" w:color="auto" w:fill="00857C"/>
          </w:tcPr>
          <w:p>
            <w:pPr>
              <w:spacing w:before="60" w:after="60"/>
            </w:pPr>
            <w:r>
              <w:rPr>
                <w:b/>
                <w:color w:val="FFFFFF"/>
                <w:sz w:val="18"/>
              </w:rPr>
              <w:t>Parameter</w:t>
            </w:r>
          </w:p>
        </w:tc>
        <w:tc>
          <w:tcPr>
            <w:tcW w:type="dxa" w:w="1417"/>
            <w:shd w:val="clear" w:color="auto" w:fill="00857C"/>
          </w:tcPr>
          <w:p>
            <w:pPr>
              <w:spacing w:before="60" w:after="60"/>
            </w:pPr>
            <w:r>
              <w:rPr>
                <w:b/>
                <w:color w:val="FFFFFF"/>
                <w:sz w:val="18"/>
              </w:rPr>
              <w:t>Context Point</w:t>
            </w:r>
          </w:p>
        </w:tc>
        <w:tc>
          <w:tcPr>
            <w:tcW w:type="dxa" w:w="1020"/>
            <w:shd w:val="clear" w:color="auto" w:fill="00857C"/>
          </w:tcPr>
          <w:p>
            <w:pPr>
              <w:spacing w:before="60" w:after="60"/>
            </w:pPr>
            <w:r>
              <w:rPr>
                <w:b/>
                <w:color w:val="FFFFFF"/>
                <w:sz w:val="18"/>
              </w:rPr>
              <w:t>Average</w:t>
            </w:r>
          </w:p>
        </w:tc>
        <w:tc>
          <w:tcPr>
            <w:tcW w:type="dxa" w:w="1077"/>
            <w:shd w:val="clear" w:color="auto" w:fill="00857C"/>
          </w:tcPr>
          <w:p>
            <w:pPr>
              <w:spacing w:before="60" w:after="60"/>
            </w:pPr>
            <w:r>
              <w:rPr>
                <w:b/>
                <w:color w:val="FFFFFF"/>
                <w:sz w:val="18"/>
              </w:rPr>
              <w:t>Lower Limit</w:t>
            </w:r>
          </w:p>
        </w:tc>
        <w:tc>
          <w:tcPr>
            <w:tcW w:type="dxa" w:w="1077"/>
            <w:shd w:val="clear" w:color="auto" w:fill="00857C"/>
          </w:tcPr>
          <w:p>
            <w:pPr>
              <w:spacing w:before="60" w:after="60"/>
            </w:pPr>
            <w:r>
              <w:rPr>
                <w:b/>
                <w:color w:val="FFFFFF"/>
                <w:sz w:val="18"/>
              </w:rPr>
              <w:t>Upper Limit</w:t>
            </w:r>
          </w:p>
        </w:tc>
        <w:tc>
          <w:tcPr>
            <w:tcW w:type="dxa" w:w="1134"/>
            <w:shd w:val="clear" w:color="auto" w:fill="00857C"/>
          </w:tcPr>
          <w:p>
            <w:pPr>
              <w:spacing w:before="60" w:after="60"/>
            </w:pPr>
            <w:r>
              <w:rPr>
                <w:b/>
                <w:color w:val="FFFFFF"/>
                <w:sz w:val="18"/>
              </w:rPr>
              <w:t>% In Range</w:t>
            </w:r>
          </w:p>
        </w:tc>
        <w:tc>
          <w:tcPr>
            <w:tcW w:type="dxa" w:w="1361"/>
            <w:shd w:val="clear" w:color="auto" w:fill="00857C"/>
          </w:tcPr>
          <w:p>
            <w:pPr>
              <w:spacing w:before="60" w:after="60"/>
            </w:pPr>
            <w:r>
              <w:rPr>
                <w:b/>
                <w:color w:val="FFFFFF"/>
                <w:sz w:val="18"/>
              </w:rPr>
              <w:t>Status</w:t>
            </w:r>
          </w:p>
        </w:tc>
      </w:tr>
      <w:tr>
        <w:tc>
          <w:tcPr>
            <w:tcW w:type="dxa" w:w="2041"/>
            <w:shd w:val="clear" w:color="auto" w:fill="FFFFFF"/>
          </w:tcPr>
          <w:p>
            <w:pPr>
              <w:spacing w:before="60" w:after="60"/>
            </w:pPr>
            <w:r>
              <w:rPr>
                <w:sz w:val="18"/>
              </w:rPr>
              <w:t>Corrosion – MS (MPY)</w:t>
            </w:r>
          </w:p>
        </w:tc>
        <w:tc>
          <w:tcPr>
            <w:tcW w:type="dxa" w:w="1417"/>
            <w:shd w:val="clear" w:color="auto" w:fill="FFFFFF"/>
          </w:tcPr>
          <w:p>
            <w:pPr>
              <w:spacing w:before="60" w:after="60"/>
            </w:pPr>
            <w:r>
              <w:rPr>
                <w:sz w:val="18"/>
              </w:rPr>
              <w:t>ACM Skid</w:t>
            </w:r>
          </w:p>
        </w:tc>
        <w:tc>
          <w:tcPr>
            <w:tcW w:type="dxa" w:w="1020"/>
            <w:shd w:val="clear" w:color="auto" w:fill="FFFFFF"/>
          </w:tcPr>
          <w:p>
            <w:pPr>
              <w:spacing w:before="60" w:after="60"/>
            </w:pPr>
            <w:r>
              <w:rPr>
                <w:sz w:val="18"/>
              </w:rPr>
              <w:t>0.100</w:t>
            </w:r>
          </w:p>
        </w:tc>
        <w:tc>
          <w:tcPr>
            <w:tcW w:type="dxa" w:w="1077"/>
            <w:shd w:val="clear" w:color="auto" w:fill="FFFFFF"/>
          </w:tcPr>
          <w:p>
            <w:pPr>
              <w:spacing w:before="60" w:after="60"/>
            </w:pPr>
            <w:r>
              <w:rPr>
                <w:sz w:val="18"/>
              </w:rPr>
              <w:t>0.00</w:t>
            </w:r>
          </w:p>
        </w:tc>
        <w:tc>
          <w:tcPr>
            <w:tcW w:type="dxa" w:w="1077"/>
            <w:shd w:val="clear" w:color="auto" w:fill="FFFFFF"/>
          </w:tcPr>
          <w:p>
            <w:pPr>
              <w:spacing w:before="60" w:after="60"/>
            </w:pPr>
            <w:r>
              <w:rPr>
                <w:sz w:val="18"/>
              </w:rPr>
              <w:t>3.00</w:t>
            </w:r>
          </w:p>
        </w:tc>
        <w:tc>
          <w:tcPr>
            <w:tcW w:type="dxa" w:w="1134"/>
            <w:shd w:val="clear" w:color="auto" w:fill="FFFFFF"/>
          </w:tcPr>
          <w:p>
            <w:pPr>
              <w:spacing w:before="60" w:after="60"/>
            </w:pPr>
            <w:r>
              <w:rPr>
                <w:sz w:val="18"/>
              </w:rPr>
              <w:t>100.0%</w:t>
            </w:r>
          </w:p>
        </w:tc>
        <w:tc>
          <w:tcPr>
            <w:tcW w:type="dxa" w:w="1361"/>
            <w:shd w:val="clear" w:color="auto" w:fill="FFFFFF"/>
          </w:tcPr>
          <w:p>
            <w:pPr>
              <w:spacing w:before="60" w:after="60"/>
            </w:pPr>
            <w:r>
              <w:rPr>
                <w:sz w:val="18"/>
              </w:rPr>
              <w:t>✓ Excellent</w:t>
            </w:r>
          </w:p>
        </w:tc>
      </w:tr>
      <w:tr>
        <w:tc>
          <w:tcPr>
            <w:tcW w:type="dxa" w:w="2041"/>
            <w:shd w:val="clear" w:color="auto" w:fill="F2F8F7"/>
          </w:tcPr>
          <w:p>
            <w:pPr>
              <w:spacing w:before="60" w:after="60"/>
            </w:pPr>
            <w:r>
              <w:rPr>
                <w:sz w:val="18"/>
              </w:rPr>
              <w:t>Corrosion – Cu (MPY)</w:t>
            </w:r>
          </w:p>
        </w:tc>
        <w:tc>
          <w:tcPr>
            <w:tcW w:type="dxa" w:w="1417"/>
            <w:shd w:val="clear" w:color="auto" w:fill="F2F8F7"/>
          </w:tcPr>
          <w:p>
            <w:pPr>
              <w:spacing w:before="60" w:after="60"/>
            </w:pPr>
            <w:r>
              <w:rPr>
                <w:sz w:val="18"/>
              </w:rPr>
              <w:t>ACM Skid</w:t>
            </w:r>
          </w:p>
        </w:tc>
        <w:tc>
          <w:tcPr>
            <w:tcW w:type="dxa" w:w="1020"/>
            <w:shd w:val="clear" w:color="auto" w:fill="F2F8F7"/>
          </w:tcPr>
          <w:p>
            <w:pPr>
              <w:spacing w:before="60" w:after="60"/>
            </w:pPr>
            <w:r>
              <w:rPr>
                <w:sz w:val="18"/>
              </w:rPr>
              <w:t>0.021</w:t>
            </w:r>
          </w:p>
        </w:tc>
        <w:tc>
          <w:tcPr>
            <w:tcW w:type="dxa" w:w="1077"/>
            <w:shd w:val="clear" w:color="auto" w:fill="F2F8F7"/>
          </w:tcPr>
          <w:p>
            <w:pPr>
              <w:spacing w:before="60" w:after="60"/>
            </w:pPr>
            <w:r>
              <w:rPr>
                <w:sz w:val="18"/>
              </w:rPr>
              <w:t>0.00</w:t>
            </w:r>
          </w:p>
        </w:tc>
        <w:tc>
          <w:tcPr>
            <w:tcW w:type="dxa" w:w="1077"/>
            <w:shd w:val="clear" w:color="auto" w:fill="F2F8F7"/>
          </w:tcPr>
          <w:p>
            <w:pPr>
              <w:spacing w:before="60" w:after="60"/>
            </w:pPr>
            <w:r>
              <w:rPr>
                <w:sz w:val="18"/>
              </w:rPr>
              <w:t>0.50</w:t>
            </w:r>
          </w:p>
        </w:tc>
        <w:tc>
          <w:tcPr>
            <w:tcW w:type="dxa" w:w="1134"/>
            <w:shd w:val="clear" w:color="auto" w:fill="F2F8F7"/>
          </w:tcPr>
          <w:p>
            <w:pPr>
              <w:spacing w:before="60" w:after="60"/>
            </w:pPr>
            <w:r>
              <w:rPr>
                <w:sz w:val="18"/>
              </w:rPr>
              <w:t>100.0%</w:t>
            </w:r>
          </w:p>
        </w:tc>
        <w:tc>
          <w:tcPr>
            <w:tcW w:type="dxa" w:w="1361"/>
            <w:shd w:val="clear" w:color="auto" w:fill="F2F8F7"/>
          </w:tcPr>
          <w:p>
            <w:pPr>
              <w:spacing w:before="60" w:after="60"/>
            </w:pPr>
            <w:r>
              <w:rPr>
                <w:sz w:val="18"/>
              </w:rPr>
              <w:t>✓ Excellent</w:t>
            </w:r>
          </w:p>
        </w:tc>
      </w:tr>
      <w:tr>
        <w:tc>
          <w:tcPr>
            <w:tcW w:type="dxa" w:w="2041"/>
            <w:shd w:val="clear" w:color="auto" w:fill="FFFFFF"/>
          </w:tcPr>
          <w:p>
            <w:pPr>
              <w:spacing w:before="60" w:after="60"/>
            </w:pPr>
            <w:r>
              <w:rPr>
                <w:sz w:val="18"/>
              </w:rPr>
              <w:t>Traced Product (ppm)</w:t>
            </w:r>
          </w:p>
        </w:tc>
        <w:tc>
          <w:tcPr>
            <w:tcW w:type="dxa" w:w="1417"/>
            <w:shd w:val="clear" w:color="auto" w:fill="FFFFFF"/>
          </w:tcPr>
          <w:p>
            <w:pPr>
              <w:spacing w:before="60" w:after="60"/>
            </w:pPr>
            <w:r>
              <w:rPr>
                <w:sz w:val="18"/>
              </w:rPr>
              <w:t>ACM Skid</w:t>
            </w:r>
          </w:p>
        </w:tc>
        <w:tc>
          <w:tcPr>
            <w:tcW w:type="dxa" w:w="1020"/>
            <w:shd w:val="clear" w:color="auto" w:fill="FFFFFF"/>
          </w:tcPr>
          <w:p>
            <w:pPr>
              <w:spacing w:before="60" w:after="60"/>
            </w:pPr>
            <w:r>
              <w:rPr>
                <w:sz w:val="18"/>
              </w:rPr>
              <w:t>45.658</w:t>
            </w:r>
          </w:p>
        </w:tc>
        <w:tc>
          <w:tcPr>
            <w:tcW w:type="dxa" w:w="1077"/>
            <w:shd w:val="clear" w:color="auto" w:fill="FFFFFF"/>
          </w:tcPr>
          <w:p>
            <w:pPr>
              <w:spacing w:before="60" w:after="60"/>
            </w:pPr>
            <w:r>
              <w:rPr>
                <w:sz w:val="18"/>
              </w:rPr>
              <w:t>40.9</w:t>
            </w:r>
          </w:p>
        </w:tc>
        <w:tc>
          <w:tcPr>
            <w:tcW w:type="dxa" w:w="1077"/>
            <w:shd w:val="clear" w:color="auto" w:fill="FFFFFF"/>
          </w:tcPr>
          <w:p>
            <w:pPr>
              <w:spacing w:before="60" w:after="60"/>
            </w:pPr>
            <w:r>
              <w:rPr>
                <w:sz w:val="18"/>
              </w:rPr>
              <w:t>45.1</w:t>
            </w:r>
          </w:p>
        </w:tc>
        <w:tc>
          <w:tcPr>
            <w:tcW w:type="dxa" w:w="1134"/>
            <w:shd w:val="clear" w:color="auto" w:fill="FFFFFF"/>
          </w:tcPr>
          <w:p>
            <w:pPr>
              <w:spacing w:before="60" w:after="60"/>
            </w:pPr>
            <w:r>
              <w:rPr>
                <w:sz w:val="18"/>
              </w:rPr>
              <w:t>47.9%</w:t>
            </w:r>
          </w:p>
        </w:tc>
        <w:tc>
          <w:tcPr>
            <w:tcW w:type="dxa" w:w="1361"/>
            <w:shd w:val="clear" w:color="auto" w:fill="FFFFFF"/>
          </w:tcPr>
          <w:p>
            <w:pPr>
              <w:spacing w:before="60" w:after="60"/>
            </w:pPr>
            <w:r>
              <w:rPr>
                <w:sz w:val="18"/>
              </w:rPr>
              <w:t>⚠ Acceptable</w:t>
            </w:r>
          </w:p>
        </w:tc>
      </w:tr>
      <w:tr>
        <w:tc>
          <w:tcPr>
            <w:tcW w:type="dxa" w:w="2041"/>
            <w:shd w:val="clear" w:color="auto" w:fill="F2F8F7"/>
          </w:tcPr>
          <w:p>
            <w:pPr>
              <w:spacing w:before="60" w:after="60"/>
            </w:pPr>
            <w:r>
              <w:rPr>
                <w:sz w:val="18"/>
              </w:rPr>
              <w:t>Conductivity (µS/cm)</w:t>
            </w:r>
          </w:p>
        </w:tc>
        <w:tc>
          <w:tcPr>
            <w:tcW w:type="dxa" w:w="1417"/>
            <w:shd w:val="clear" w:color="auto" w:fill="F2F8F7"/>
          </w:tcPr>
          <w:p>
            <w:pPr>
              <w:spacing w:before="60" w:after="60"/>
            </w:pPr>
            <w:r>
              <w:rPr>
                <w:sz w:val="18"/>
              </w:rPr>
              <w:t>ACM Skid</w:t>
            </w:r>
          </w:p>
        </w:tc>
        <w:tc>
          <w:tcPr>
            <w:tcW w:type="dxa" w:w="1020"/>
            <w:shd w:val="clear" w:color="auto" w:fill="F2F8F7"/>
          </w:tcPr>
          <w:p>
            <w:pPr>
              <w:spacing w:before="60" w:after="60"/>
            </w:pPr>
            <w:r>
              <w:rPr>
                <w:sz w:val="18"/>
              </w:rPr>
              <w:t>597.635</w:t>
            </w:r>
          </w:p>
        </w:tc>
        <w:tc>
          <w:tcPr>
            <w:tcW w:type="dxa" w:w="1077"/>
            <w:shd w:val="clear" w:color="auto" w:fill="F2F8F7"/>
          </w:tcPr>
          <w:p>
            <w:pPr>
              <w:spacing w:before="60" w:after="60"/>
            </w:pPr>
            <w:r>
              <w:rPr>
                <w:sz w:val="18"/>
              </w:rPr>
              <w:t>570</w:t>
            </w:r>
          </w:p>
        </w:tc>
        <w:tc>
          <w:tcPr>
            <w:tcW w:type="dxa" w:w="1077"/>
            <w:shd w:val="clear" w:color="auto" w:fill="F2F8F7"/>
          </w:tcPr>
          <w:p>
            <w:pPr>
              <w:spacing w:before="60" w:after="60"/>
            </w:pPr>
            <w:r>
              <w:rPr>
                <w:sz w:val="18"/>
              </w:rPr>
              <w:t>630</w:t>
            </w:r>
          </w:p>
        </w:tc>
        <w:tc>
          <w:tcPr>
            <w:tcW w:type="dxa" w:w="1134"/>
            <w:shd w:val="clear" w:color="auto" w:fill="F2F8F7"/>
          </w:tcPr>
          <w:p>
            <w:pPr>
              <w:spacing w:before="60" w:after="60"/>
            </w:pPr>
            <w:r>
              <w:rPr>
                <w:sz w:val="18"/>
              </w:rPr>
              <w:t>83.7%</w:t>
            </w:r>
          </w:p>
        </w:tc>
        <w:tc>
          <w:tcPr>
            <w:tcW w:type="dxa" w:w="1361"/>
            <w:shd w:val="clear" w:color="auto" w:fill="F2F8F7"/>
          </w:tcPr>
          <w:p>
            <w:pPr>
              <w:spacing w:before="60" w:after="60"/>
            </w:pPr>
            <w:r>
              <w:rPr>
                <w:sz w:val="18"/>
              </w:rPr>
              <w:t>✓ Excellent</w:t>
            </w:r>
          </w:p>
        </w:tc>
      </w:tr>
      <w:tr>
        <w:tc>
          <w:tcPr>
            <w:tcW w:type="dxa" w:w="2041"/>
            <w:shd w:val="clear" w:color="auto" w:fill="FFFFFF"/>
          </w:tcPr>
          <w:p>
            <w:pPr>
              <w:spacing w:before="60" w:after="60"/>
            </w:pPr>
            <w:r>
              <w:rPr>
                <w:sz w:val="18"/>
              </w:rPr>
              <w:t>pH</w:t>
            </w:r>
          </w:p>
        </w:tc>
        <w:tc>
          <w:tcPr>
            <w:tcW w:type="dxa" w:w="1417"/>
            <w:shd w:val="clear" w:color="auto" w:fill="FFFFFF"/>
          </w:tcPr>
          <w:p>
            <w:pPr>
              <w:spacing w:before="60" w:after="60"/>
            </w:pPr>
            <w:r>
              <w:rPr>
                <w:sz w:val="18"/>
              </w:rPr>
              <w:t>ACM Skid</w:t>
            </w:r>
          </w:p>
        </w:tc>
        <w:tc>
          <w:tcPr>
            <w:tcW w:type="dxa" w:w="1020"/>
            <w:shd w:val="clear" w:color="auto" w:fill="FFFFFF"/>
          </w:tcPr>
          <w:p>
            <w:pPr>
              <w:spacing w:before="60" w:after="60"/>
            </w:pPr>
            <w:r>
              <w:rPr>
                <w:sz w:val="18"/>
              </w:rPr>
              <w:t>9.284</w:t>
            </w:r>
          </w:p>
        </w:tc>
        <w:tc>
          <w:tcPr>
            <w:tcW w:type="dxa" w:w="1077"/>
            <w:shd w:val="clear" w:color="auto" w:fill="FFFFFF"/>
          </w:tcPr>
          <w:p>
            <w:pPr>
              <w:spacing w:before="60" w:after="60"/>
            </w:pPr>
            <w:r>
              <w:rPr>
                <w:sz w:val="18"/>
              </w:rPr>
              <w:t>7.50</w:t>
            </w:r>
          </w:p>
        </w:tc>
        <w:tc>
          <w:tcPr>
            <w:tcW w:type="dxa" w:w="1077"/>
            <w:shd w:val="clear" w:color="auto" w:fill="FFFFFF"/>
          </w:tcPr>
          <w:p>
            <w:pPr>
              <w:spacing w:before="60" w:after="60"/>
            </w:pPr>
            <w:r>
              <w:rPr>
                <w:sz w:val="18"/>
              </w:rPr>
              <w:t>10.00</w:t>
            </w:r>
          </w:p>
        </w:tc>
        <w:tc>
          <w:tcPr>
            <w:tcW w:type="dxa" w:w="1134"/>
            <w:shd w:val="clear" w:color="auto" w:fill="FFFFFF"/>
          </w:tcPr>
          <w:p>
            <w:pPr>
              <w:spacing w:before="60" w:after="60"/>
            </w:pPr>
            <w:r>
              <w:rPr>
                <w:sz w:val="18"/>
              </w:rPr>
              <w:t>100.0%</w:t>
            </w:r>
          </w:p>
        </w:tc>
        <w:tc>
          <w:tcPr>
            <w:tcW w:type="dxa" w:w="1361"/>
            <w:shd w:val="clear" w:color="auto" w:fill="FFFFFF"/>
          </w:tcPr>
          <w:p>
            <w:pPr>
              <w:spacing w:before="60" w:after="60"/>
            </w:pPr>
            <w:r>
              <w:rPr>
                <w:sz w:val="18"/>
              </w:rPr>
              <w:t>✓ Excellent</w:t>
            </w:r>
          </w:p>
        </w:tc>
      </w:tr>
      <w:tr>
        <w:tc>
          <w:tcPr>
            <w:tcW w:type="dxa" w:w="2041"/>
            <w:shd w:val="clear" w:color="auto" w:fill="F2F8F7"/>
          </w:tcPr>
          <w:p>
            <w:pPr>
              <w:spacing w:before="60" w:after="60"/>
            </w:pPr>
            <w:r>
              <w:rPr>
                <w:sz w:val="18"/>
              </w:rPr>
              <w:t>Turbidity (NTU)</w:t>
            </w:r>
          </w:p>
        </w:tc>
        <w:tc>
          <w:tcPr>
            <w:tcW w:type="dxa" w:w="1417"/>
            <w:shd w:val="clear" w:color="auto" w:fill="F2F8F7"/>
          </w:tcPr>
          <w:p>
            <w:pPr>
              <w:spacing w:before="60" w:after="60"/>
            </w:pPr>
            <w:r>
              <w:rPr>
                <w:sz w:val="18"/>
              </w:rPr>
              <w:t>ACM Skid</w:t>
            </w:r>
          </w:p>
        </w:tc>
        <w:tc>
          <w:tcPr>
            <w:tcW w:type="dxa" w:w="1020"/>
            <w:shd w:val="clear" w:color="auto" w:fill="F2F8F7"/>
          </w:tcPr>
          <w:p>
            <w:pPr>
              <w:spacing w:before="60" w:after="60"/>
            </w:pPr>
            <w:r>
              <w:rPr>
                <w:sz w:val="18"/>
              </w:rPr>
              <w:t>0.005</w:t>
            </w:r>
          </w:p>
        </w:tc>
        <w:tc>
          <w:tcPr>
            <w:tcW w:type="dxa" w:w="1077"/>
            <w:shd w:val="clear" w:color="auto" w:fill="F2F8F7"/>
          </w:tcPr>
          <w:p>
            <w:pPr>
              <w:spacing w:before="60" w:after="60"/>
            </w:pPr>
            <w:r>
              <w:rPr>
                <w:sz w:val="18"/>
              </w:rPr>
              <w:t>0.0</w:t>
            </w:r>
          </w:p>
        </w:tc>
        <w:tc>
          <w:tcPr>
            <w:tcW w:type="dxa" w:w="1077"/>
            <w:shd w:val="clear" w:color="auto" w:fill="F2F8F7"/>
          </w:tcPr>
          <w:p>
            <w:pPr>
              <w:spacing w:before="60" w:after="60"/>
            </w:pPr>
            <w:r>
              <w:rPr>
                <w:sz w:val="18"/>
              </w:rPr>
              <w:t>75.0</w:t>
            </w:r>
          </w:p>
        </w:tc>
        <w:tc>
          <w:tcPr>
            <w:tcW w:type="dxa" w:w="1134"/>
            <w:shd w:val="clear" w:color="auto" w:fill="F2F8F7"/>
          </w:tcPr>
          <w:p>
            <w:pPr>
              <w:spacing w:before="60" w:after="60"/>
            </w:pPr>
            <w:r>
              <w:rPr>
                <w:sz w:val="18"/>
              </w:rPr>
              <w:t>100.0%</w:t>
            </w:r>
          </w:p>
        </w:tc>
        <w:tc>
          <w:tcPr>
            <w:tcW w:type="dxa" w:w="1361"/>
            <w:shd w:val="clear" w:color="auto" w:fill="F2F8F7"/>
          </w:tcPr>
          <w:p>
            <w:pPr>
              <w:spacing w:before="60" w:after="60"/>
            </w:pPr>
            <w:r>
              <w:rPr>
                <w:sz w:val="18"/>
              </w:rPr>
              <w:t>✓ Excellent</w:t>
            </w:r>
          </w:p>
        </w:tc>
      </w:tr>
      <w:tr>
        <w:tc>
          <w:tcPr>
            <w:tcW w:type="dxa" w:w="2041"/>
            <w:shd w:val="clear" w:color="auto" w:fill="FFFFFF"/>
          </w:tcPr>
          <w:p>
            <w:pPr>
              <w:spacing w:before="60" w:after="60"/>
            </w:pPr>
            <w:r>
              <w:rPr>
                <w:sz w:val="18"/>
              </w:rPr>
              <w:t>Cell Fouling (%)</w:t>
            </w:r>
          </w:p>
        </w:tc>
        <w:tc>
          <w:tcPr>
            <w:tcW w:type="dxa" w:w="1417"/>
            <w:shd w:val="clear" w:color="auto" w:fill="FFFFFF"/>
          </w:tcPr>
          <w:p>
            <w:pPr>
              <w:spacing w:before="60" w:after="60"/>
            </w:pPr>
            <w:r>
              <w:rPr>
                <w:sz w:val="18"/>
              </w:rPr>
              <w:t>ACM Skid</w:t>
            </w:r>
          </w:p>
        </w:tc>
        <w:tc>
          <w:tcPr>
            <w:tcW w:type="dxa" w:w="1020"/>
            <w:shd w:val="clear" w:color="auto" w:fill="FFFFFF"/>
          </w:tcPr>
          <w:p>
            <w:pPr>
              <w:spacing w:before="60" w:after="60"/>
            </w:pPr>
            <w:r>
              <w:rPr>
                <w:sz w:val="18"/>
              </w:rPr>
              <w:t>3.659</w:t>
            </w:r>
          </w:p>
        </w:tc>
        <w:tc>
          <w:tcPr>
            <w:tcW w:type="dxa" w:w="1077"/>
            <w:shd w:val="clear" w:color="auto" w:fill="FFFFFF"/>
          </w:tcPr>
          <w:p>
            <w:pPr>
              <w:spacing w:before="60" w:after="60"/>
            </w:pPr>
            <w:r>
              <w:rPr>
                <w:sz w:val="18"/>
              </w:rPr>
              <w:t>0.0</w:t>
            </w:r>
          </w:p>
        </w:tc>
        <w:tc>
          <w:tcPr>
            <w:tcW w:type="dxa" w:w="1077"/>
            <w:shd w:val="clear" w:color="auto" w:fill="FFFFFF"/>
          </w:tcPr>
          <w:p>
            <w:pPr>
              <w:spacing w:before="60" w:after="60"/>
            </w:pPr>
            <w:r>
              <w:rPr>
                <w:sz w:val="18"/>
              </w:rPr>
              <w:t>30.0</w:t>
            </w:r>
          </w:p>
        </w:tc>
        <w:tc>
          <w:tcPr>
            <w:tcW w:type="dxa" w:w="1134"/>
            <w:shd w:val="clear" w:color="auto" w:fill="FFFFFF"/>
          </w:tcPr>
          <w:p>
            <w:pPr>
              <w:spacing w:before="60" w:after="60"/>
            </w:pPr>
            <w:r>
              <w:rPr>
                <w:sz w:val="18"/>
              </w:rPr>
              <w:t>100.0%</w:t>
            </w:r>
          </w:p>
        </w:tc>
        <w:tc>
          <w:tcPr>
            <w:tcW w:type="dxa" w:w="1361"/>
            <w:shd w:val="clear" w:color="auto" w:fill="FFFFFF"/>
          </w:tcPr>
          <w:p>
            <w:pPr>
              <w:spacing w:before="60" w:after="60"/>
            </w:pPr>
            <w:r>
              <w:rPr>
                <w:sz w:val="18"/>
              </w:rPr>
              <w:t>✓ Excellent</w:t>
            </w:r>
          </w:p>
        </w:tc>
      </w:tr>
    </w:tbl>
    <w:p/>
    <w:p>
      <w:r>
        <w:br w:type="page"/>
      </w:r>
    </w:p>
    <w:p>
      <w:pPr>
        <w:pBdr>
          <w:bottom w:val="single" w:sz="8" w:space="4" w:color="00857C"/>
        </w:pBdr>
        <w:spacing w:before="280" w:after="80"/>
      </w:pPr>
      <w:r>
        <w:rPr>
          <w:b/>
          <w:color w:val="00857C"/>
          <w:sz w:val="32"/>
        </w:rPr>
        <w:t>Charts and Comments</w:t>
      </w:r>
    </w:p>
    <w:p>
      <w:pPr>
        <w:spacing w:before="200" w:after="60"/>
      </w:pPr>
      <w:r>
        <w:rPr>
          <w:b/>
          <w:color w:val="005F58"/>
          <w:sz w:val="26"/>
        </w:rPr>
        <w:t>Corrosion Rate</w:t>
      </w:r>
    </w:p>
    <w:p>
      <w:pPr>
        <w:jc w:val="center"/>
      </w:pPr>
      <w:r>
        <w:drawing>
          <wp:inline xmlns:a="http://schemas.openxmlformats.org/drawingml/2006/main" xmlns:pic="http://schemas.openxmlformats.org/drawingml/2006/picture">
            <wp:extent cx="5486400" cy="2570877"/>
            <wp:docPr id="1" name="Picture 1"/>
            <wp:cNvGraphicFramePr>
              <a:graphicFrameLocks noChangeAspect="1"/>
            </wp:cNvGraphicFramePr>
            <a:graphic>
              <a:graphicData uri="http://schemas.openxmlformats.org/drawingml/2006/picture">
                <pic:pic>
                  <pic:nvPicPr>
                    <pic:cNvPr id="0" name="st_joseph_s_hospital_savannah_ga_us_controllers_84253fab8cc5_july_2026_corrosion.png"/>
                    <pic:cNvPicPr/>
                  </pic:nvPicPr>
                  <pic:blipFill>
                    <a:blip r:embed="rId11"/>
                    <a:stretch>
                      <a:fillRect/>
                    </a:stretch>
                  </pic:blipFill>
                  <pic:spPr>
                    <a:xfrm>
                      <a:off x="0" y="0"/>
                      <a:ext cx="5486400" cy="2570877"/>
                    </a:xfrm>
                    <a:prstGeom prst="rect"/>
                  </pic:spPr>
                </pic:pic>
              </a:graphicData>
            </a:graphic>
          </wp:inline>
        </w:drawing>
      </w:r>
    </w:p>
    <w:p>
      <w:pPr>
        <w:spacing w:after="120"/>
        <w:jc w:val="center"/>
      </w:pPr>
      <w:r>
        <w:rPr>
          <w:i/>
          <w:color w:val="444444"/>
          <w:sz w:val="17"/>
        </w:rPr>
        <w:t>Figure 1: Corrosion Rate — July 2026</w:t>
      </w:r>
    </w:p>
    <w:p>
      <w:pPr>
        <w:spacing w:before="40" w:after="200"/>
      </w:pPr>
      <w:r>
        <w:rPr>
          <w:b/>
          <w:i/>
          <w:color w:val="333333"/>
          <w:sz w:val="19"/>
        </w:rPr>
        <w:t xml:space="preserve">Comment: </w:t>
      </w:r>
      <w:r>
        <w:rPr>
          <w:i/>
          <w:color w:val="333333"/>
          <w:sz w:val="19"/>
        </w:rPr>
        <w:t>During the reporting period, the system remained under good control. The mild steel and copper corrosion rates averaged 0.10 mpy and 0.02 mpy, respectively, both of which are well within the recommended limits of &lt;5 mpy and &lt;0.5 mpy.</w:t>
      </w:r>
    </w:p>
    <w:p>
      <w:pPr>
        <w:spacing w:before="200" w:after="60"/>
      </w:pPr>
      <w:r>
        <w:rPr>
          <w:b/>
          <w:color w:val="005F58"/>
          <w:sz w:val="26"/>
        </w:rPr>
        <w:t>Traced Product Control Trend</w:t>
      </w:r>
    </w:p>
    <w:p>
      <w:pPr>
        <w:jc w:val="center"/>
      </w:pPr>
      <w:r>
        <w:drawing>
          <wp:inline xmlns:a="http://schemas.openxmlformats.org/drawingml/2006/main" xmlns:pic="http://schemas.openxmlformats.org/drawingml/2006/picture">
            <wp:extent cx="5486400" cy="2568696"/>
            <wp:docPr id="2" name="Picture 2"/>
            <wp:cNvGraphicFramePr>
              <a:graphicFrameLocks noChangeAspect="1"/>
            </wp:cNvGraphicFramePr>
            <a:graphic>
              <a:graphicData uri="http://schemas.openxmlformats.org/drawingml/2006/picture">
                <pic:pic>
                  <pic:nvPicPr>
                    <pic:cNvPr id="0" name="st_joseph_s_hospital_savannah_ga_us_controllers_84253fab8cc5_july_2026_traced_product.png"/>
                    <pic:cNvPicPr/>
                  </pic:nvPicPr>
                  <pic:blipFill>
                    <a:blip r:embed="rId12"/>
                    <a:stretch>
                      <a:fillRect/>
                    </a:stretch>
                  </pic:blipFill>
                  <pic:spPr>
                    <a:xfrm>
                      <a:off x="0" y="0"/>
                      <a:ext cx="5486400" cy="2568696"/>
                    </a:xfrm>
                    <a:prstGeom prst="rect"/>
                  </pic:spPr>
                </pic:pic>
              </a:graphicData>
            </a:graphic>
          </wp:inline>
        </w:drawing>
      </w:r>
    </w:p>
    <w:p>
      <w:pPr>
        <w:spacing w:after="120"/>
        <w:jc w:val="center"/>
      </w:pPr>
      <w:r>
        <w:rPr>
          <w:i/>
          <w:color w:val="444444"/>
          <w:sz w:val="17"/>
        </w:rPr>
        <w:t>Figure 2: Traced Product — July 2026</w:t>
      </w:r>
    </w:p>
    <w:p>
      <w:pPr>
        <w:spacing w:before="40" w:after="200"/>
      </w:pPr>
      <w:r>
        <w:rPr>
          <w:b/>
          <w:i/>
          <w:color w:val="333333"/>
          <w:sz w:val="19"/>
        </w:rPr>
        <w:t xml:space="preserve">Comment: </w:t>
      </w:r>
      <w:r>
        <w:rPr>
          <w:i/>
          <w:color w:val="333333"/>
          <w:sz w:val="19"/>
        </w:rPr>
        <w:t>Pattern: Traced Product is still not maintained at the end of the month.</w:t>
      </w:r>
      <w:r>
        <w:br/>
      </w:r>
      <w:r>
        <w:rPr>
          <w:i/>
          <w:color w:val="333333"/>
          <w:sz w:val="19"/>
        </w:rPr>
        <w:t>The trend moved from about 46.5 ppm at the start to 44.8 ppm at the end.</w:t>
      </w:r>
      <w:r>
        <w:br/>
      </w:r>
      <w:r>
        <w:rPr>
          <w:i/>
          <w:color w:val="333333"/>
          <w:sz w:val="19"/>
        </w:rPr>
        <w:t>The Traced Product average was above the configured range. The monthly in-range performance was 47.9%.</w:t>
      </w:r>
      <w:r>
        <w:br/>
      </w:r>
      <w:r>
        <w:rPr>
          <w:i/>
          <w:color w:val="333333"/>
          <w:sz w:val="19"/>
        </w:rPr>
        <w:t>Likely reason: feed is recovering from overfeed; review pump stroke or calibration if it does not return to range.</w:t>
      </w:r>
    </w:p>
    <w:p>
      <w:pPr>
        <w:spacing w:before="200" w:after="60"/>
      </w:pPr>
      <w:r>
        <w:rPr>
          <w:b/>
          <w:color w:val="005F58"/>
          <w:sz w:val="26"/>
        </w:rPr>
        <w:t>ORP vs Copper Corrosion Rate</w:t>
      </w:r>
    </w:p>
    <w:p>
      <w:pPr>
        <w:jc w:val="center"/>
      </w:pPr>
      <w:r>
        <w:drawing>
          <wp:inline xmlns:a="http://schemas.openxmlformats.org/drawingml/2006/main" xmlns:pic="http://schemas.openxmlformats.org/drawingml/2006/picture">
            <wp:extent cx="5486400" cy="2573061"/>
            <wp:docPr id="3" name="Picture 3"/>
            <wp:cNvGraphicFramePr>
              <a:graphicFrameLocks noChangeAspect="1"/>
            </wp:cNvGraphicFramePr>
            <a:graphic>
              <a:graphicData uri="http://schemas.openxmlformats.org/drawingml/2006/picture">
                <pic:pic>
                  <pic:nvPicPr>
                    <pic:cNvPr id="0" name="st_joseph_s_hospital_savannah_ga_us_controllers_84253fab8cc5_july_2026_orp_corrosion.png"/>
                    <pic:cNvPicPr/>
                  </pic:nvPicPr>
                  <pic:blipFill>
                    <a:blip r:embed="rId13"/>
                    <a:stretch>
                      <a:fillRect/>
                    </a:stretch>
                  </pic:blipFill>
                  <pic:spPr>
                    <a:xfrm>
                      <a:off x="0" y="0"/>
                      <a:ext cx="5486400" cy="2573061"/>
                    </a:xfrm>
                    <a:prstGeom prst="rect"/>
                  </pic:spPr>
                </pic:pic>
              </a:graphicData>
            </a:graphic>
          </wp:inline>
        </w:drawing>
      </w:r>
    </w:p>
    <w:p>
      <w:pPr>
        <w:spacing w:after="120"/>
        <w:jc w:val="center"/>
      </w:pPr>
      <w:r>
        <w:rPr>
          <w:i/>
          <w:color w:val="444444"/>
          <w:sz w:val="17"/>
        </w:rPr>
        <w:t>Figure 3: ORP vs Copper Corrosion Rate — July 2026</w:t>
      </w:r>
    </w:p>
    <w:p>
      <w:pPr>
        <w:spacing w:before="40" w:after="200"/>
      </w:pPr>
      <w:r>
        <w:rPr>
          <w:b/>
          <w:i/>
          <w:color w:val="333333"/>
          <w:sz w:val="19"/>
        </w:rPr>
        <w:t xml:space="preserve">Comment: </w:t>
      </w:r>
      <w:r>
        <w:rPr>
          <w:i/>
          <w:color w:val="333333"/>
          <w:sz w:val="19"/>
        </w:rPr>
        <w:t>ORP did not show more than 50 mV spikes at least three times during the week from 08 July 2026 to 14 July 2026; no slug dosage of biocide is observed during this period. This could be due to lack of inventory, dosing pump lost prime, or a leak in the pump discharge line.</w:t>
      </w:r>
      <w:r>
        <w:br/>
      </w:r>
      <w:r>
        <w:rPr>
          <w:i/>
          <w:color w:val="333333"/>
          <w:sz w:val="19"/>
        </w:rPr>
        <w:t>Copper corrosion remained within the recommended limit of 0.5 mpy.</w:t>
      </w:r>
    </w:p>
    <w:p>
      <w:pPr>
        <w:spacing w:before="200" w:after="60"/>
      </w:pPr>
      <w:r>
        <w:rPr>
          <w:b/>
          <w:color w:val="005F58"/>
          <w:sz w:val="26"/>
        </w:rPr>
        <w:t>Electrode Conductivity</w:t>
      </w:r>
    </w:p>
    <w:p>
      <w:pPr>
        <w:jc w:val="center"/>
      </w:pPr>
      <w:r>
        <w:drawing>
          <wp:inline xmlns:a="http://schemas.openxmlformats.org/drawingml/2006/main" xmlns:pic="http://schemas.openxmlformats.org/drawingml/2006/picture">
            <wp:extent cx="5486400" cy="2566519"/>
            <wp:docPr id="4" name="Picture 4"/>
            <wp:cNvGraphicFramePr>
              <a:graphicFrameLocks noChangeAspect="1"/>
            </wp:cNvGraphicFramePr>
            <a:graphic>
              <a:graphicData uri="http://schemas.openxmlformats.org/drawingml/2006/picture">
                <pic:pic>
                  <pic:nvPicPr>
                    <pic:cNvPr id="0" name="st_joseph_s_hospital_savannah_ga_us_controllers_84253fab8cc5_july_2026_conductivity.png"/>
                    <pic:cNvPicPr/>
                  </pic:nvPicPr>
                  <pic:blipFill>
                    <a:blip r:embed="rId14"/>
                    <a:stretch>
                      <a:fillRect/>
                    </a:stretch>
                  </pic:blipFill>
                  <pic:spPr>
                    <a:xfrm>
                      <a:off x="0" y="0"/>
                      <a:ext cx="5486400" cy="2566519"/>
                    </a:xfrm>
                    <a:prstGeom prst="rect"/>
                  </pic:spPr>
                </pic:pic>
              </a:graphicData>
            </a:graphic>
          </wp:inline>
        </w:drawing>
      </w:r>
    </w:p>
    <w:p>
      <w:pPr>
        <w:spacing w:after="120"/>
        <w:jc w:val="center"/>
      </w:pPr>
      <w:r>
        <w:rPr>
          <w:i/>
          <w:color w:val="444444"/>
          <w:sz w:val="17"/>
        </w:rPr>
        <w:t>Figure 4: Electrode Conductivity — July 2026</w:t>
      </w:r>
    </w:p>
    <w:p>
      <w:pPr>
        <w:spacing w:before="40" w:after="200"/>
      </w:pPr>
      <w:r>
        <w:rPr>
          <w:b/>
          <w:i/>
          <w:color w:val="333333"/>
          <w:sz w:val="19"/>
        </w:rPr>
        <w:t xml:space="preserve">Comment: </w:t>
      </w:r>
      <w:r>
        <w:rPr>
          <w:i/>
          <w:color w:val="333333"/>
          <w:sz w:val="19"/>
        </w:rPr>
        <w:t>The average conductivity is 597.6 µS/cm, which is within the recommended setpoint range of 570-630 µS/cm. Conductivity remained broadly stable from about 596.3 µS/cm at the start of the month to 599.0 µS/cm at the end. Recommendation: makeup and blowdown control are balanced, so tower cycles remained steady.</w:t>
      </w:r>
    </w:p>
    <w:p>
      <w:r>
        <w:br w:type="page"/>
      </w:r>
    </w:p>
    <w:p>
      <w:pPr>
        <w:pBdr>
          <w:bottom w:val="single" w:sz="8" w:space="4" w:color="00857C"/>
        </w:pBdr>
        <w:spacing w:before="280" w:after="80"/>
      </w:pPr>
      <w:r>
        <w:rPr>
          <w:b/>
          <w:color w:val="00857C"/>
          <w:sz w:val="32"/>
        </w:rPr>
        <w:t>Closing Summary</w:t>
      </w:r>
    </w:p>
    <w:p>
      <w:pPr>
        <w:spacing w:before="80" w:after="120"/>
        <w:jc w:val="left"/>
      </w:pPr>
      <w:r>
        <w:rPr>
          <w:b w:val="0"/>
          <w:i w:val="0"/>
          <w:sz w:val="20"/>
        </w:rPr>
        <w:t>Overall July performance was strong for corrosion control and water efficiency, with conductivity and COC maintained close to target. The main follow-up items are to confirm ORP/FRC recovery after the sample-line service and continue improving Traced Product control until end-of-month performance is consistently maintained.</w:t>
      </w:r>
    </w:p>
    <w:sectPr w:rsidR="00FC693F" w:rsidRPr="0006063C" w:rsidSect="00034616">
      <w:headerReference w:type="default" r:id="rId9"/>
      <w:footerReference w:type="default" r:id="rId10"/>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44444"/>
        <w:sz w:val="16"/>
      </w:rPr>
      <w:t>Buckman Digital Water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00857C"/>
      </w:pBdr>
    </w:pPr>
    <w:r>
      <w:rPr>
        <w:color w:val="444444"/>
        <w:sz w:val="16"/>
      </w:rPr>
      <w:t>Buckman  |  St. Joseph's Hospital Savannah GA (US)  |  July 2026 Cooling Water Performance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