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60"/>
        <w:jc w:val="center"/>
      </w:pPr>
      <w:r>
        <w:rPr>
          <w:b/>
          <w:i w:val="0"/>
          <w:color w:val="686868"/>
          <w:sz w:val="20"/>
        </w:rPr>
        <w:t>BUCKMAN DIGITAL WATER</w:t>
      </w:r>
    </w:p>
    <w:p>
      <w:pPr>
        <w:spacing w:before="60" w:after="60"/>
        <w:jc w:val="center"/>
      </w:pPr>
      <w:r>
        <w:rPr>
          <w:b/>
          <w:i w:val="0"/>
          <w:sz w:val="40"/>
        </w:rPr>
        <w:t>Monthly Cooling Water Performance Report</w:t>
      </w:r>
    </w:p>
    <w:p>
      <w:pPr>
        <w:spacing w:before="60" w:after="200"/>
        <w:jc w:val="center"/>
      </w:pPr>
      <w:r>
        <w:rPr>
          <w:b/>
          <w:i w:val="0"/>
          <w:color w:val="009878"/>
          <w:sz w:val="30"/>
        </w:rPr>
        <w:t>Candler Hospital Savannah GA (US)</w:t>
      </w:r>
    </w:p>
    <w:p>
      <w:pPr>
        <w:spacing w:before="60" w:after="360"/>
        <w:jc w:val="center"/>
      </w:pPr>
      <w:r>
        <w:rPr>
          <w:b w:val="0"/>
          <w:i w:val="0"/>
          <w:color w:val="686868"/>
          <w:sz w:val="20"/>
        </w:rPr>
        <w:t>Reporting Month: August 2026</w:t>
      </w:r>
    </w:p>
    <w:tbl>
      <w:tblPr>
        <w:tblStyle w:val="TableGrid"/>
        <w:tblW w:type="auto" w:w="0"/>
        <w:tblLook w:firstColumn="1" w:firstRow="1" w:lastColumn="0" w:lastRow="0" w:noHBand="0" w:noVBand="1" w:val="04A0"/>
      </w:tblPr>
      <w:tblGrid>
        <w:gridCol w:w="2521"/>
        <w:gridCol w:w="2521"/>
        <w:gridCol w:w="2521"/>
        <w:gridCol w:w="2521"/>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Customer / Site</w:t>
            </w:r>
          </w:p>
        </w:tc>
        <w:tc>
          <w:tcPr>
            <w:tcW w:type="dxa" w:w="170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System</w:t>
            </w:r>
          </w:p>
        </w:tc>
        <w:tc>
          <w:tcPr>
            <w:tcW w:type="dxa" w:w="198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Controller</w:t>
            </w:r>
          </w:p>
        </w:tc>
        <w:tc>
          <w:tcPr>
            <w:tcW w:type="dxa" w:w="255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For</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Candler Hospital Savannah GA (US)</w:t>
            </w:r>
          </w:p>
        </w:tc>
        <w:tc>
          <w:tcPr>
            <w:tcW w:type="dxa" w:w="170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Cooling Tower</w:t>
            </w:r>
          </w:p>
        </w:tc>
        <w:tc>
          <w:tcPr>
            <w:tcW w:type="dxa" w:w="198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84253F5FB67B, 84253FAB8C75</w:t>
            </w:r>
          </w:p>
        </w:tc>
        <w:tc>
          <w:tcPr>
            <w:tcW w:type="dxa" w:w="255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Monthly Performance Review</w:t>
            </w:r>
          </w:p>
        </w:tc>
      </w:tr>
    </w:tbl>
    <w:p/>
    <w:p>
      <w:pPr>
        <w:spacing w:before="200" w:after="120"/>
        <w:jc w:val="left"/>
      </w:pPr>
    </w:p>
    <w:p>
      <w:pPr>
        <w:spacing w:before="80" w:after="120"/>
        <w:jc w:val="center"/>
      </w:pPr>
      <w:r>
        <w:rPr>
          <w:b w:val="0"/>
          <w:i w:val="0"/>
          <w:color w:val="686868"/>
          <w:sz w:val="19"/>
        </w:rPr>
        <w:t>This report summarises corrosion control, scale control, microbial control, water efficiency, product efficiency, and proactive system support for Candler Hospital Savannah GA (US), August 2026, using controller setpoints, telemetry KPIs, field data, and service note records.</w:t>
      </w:r>
    </w:p>
    <w:p>
      <w:pPr>
        <w:spacing w:before="200" w:after="120"/>
        <w:jc w:val="left"/>
      </w:pPr>
    </w:p>
    <w:tbl>
      <w:tblPr>
        <w:tblStyle w:val="TableGrid"/>
        <w:tblW w:type="auto" w:w="0"/>
        <w:tblLook w:firstColumn="1" w:firstRow="1" w:lastColumn="0" w:lastRow="0" w:noHBand="0" w:noVBand="1" w:val="04A0"/>
      </w:tblPr>
      <w:tblGrid>
        <w:gridCol w:w="3362"/>
        <w:gridCol w:w="3362"/>
        <w:gridCol w:w="3362"/>
      </w:tblGrid>
      <w:tr>
        <w:tc>
          <w:tcPr>
            <w:tcW w:type="dxa" w:w="311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By</w:t>
            </w:r>
          </w:p>
        </w:tc>
        <w:tc>
          <w:tcPr>
            <w:tcW w:type="dxa" w:w="2835"/>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Prepared Date</w:t>
            </w:r>
          </w:p>
        </w:tc>
        <w:tc>
          <w:tcPr>
            <w:tcW w:type="dxa" w:w="3402"/>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Report Status</w:t>
            </w:r>
          </w:p>
        </w:tc>
      </w:tr>
      <w:tr>
        <w:tc>
          <w:tcPr>
            <w:tcW w:type="dxa" w:w="311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Buckman Digital Water</w:t>
            </w:r>
          </w:p>
        </w:tc>
        <w:tc>
          <w:tcPr>
            <w:tcW w:type="dxa" w:w="2835"/>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23 September 2026</w:t>
            </w:r>
          </w:p>
        </w:tc>
        <w:tc>
          <w:tcPr>
            <w:tcW w:type="dxa" w:w="3402"/>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Draft</w:t>
            </w:r>
          </w:p>
        </w:tc>
      </w:tr>
    </w:tbl>
    <w:p/>
    <w:p>
      <w:r>
        <w:br w:type="page"/>
      </w:r>
    </w:p>
    <w:p>
      <w:pPr>
        <w:spacing w:before="280" w:after="140"/>
        <w:shd w:val="clear" w:color="auto" w:fill="009878"/>
      </w:pPr>
      <w:r>
        <w:rPr>
          <w:b/>
          <w:color w:val="FFFFFF"/>
          <w:sz w:val="24"/>
        </w:rPr>
        <w:t xml:space="preserve">  Executive Summary</w:t>
      </w:r>
    </w:p>
    <w:p>
      <w:pPr>
        <w:spacing w:before="200" w:after="80"/>
      </w:pPr>
      <w:r>
        <w:rPr>
          <w:b/>
          <w:color w:val="1D5C7F"/>
          <w:sz w:val="26"/>
        </w:rPr>
        <w:t>System Health Check</w:t>
      </w:r>
    </w:p>
    <w:p>
      <w:pPr>
        <w:spacing w:before="160" w:after="40"/>
      </w:pPr>
      <w:r>
        <w:rPr>
          <w:b/>
          <w:color w:val="212529"/>
          <w:sz w:val="22"/>
        </w:rPr>
        <w:t>Corrosion Control</w:t>
      </w:r>
    </w:p>
    <w:p>
      <w:pPr>
        <w:spacing w:before="60" w:after="100"/>
        <w:shd w:val="clear" w:color="auto" w:fill="F7F7F7"/>
      </w:pPr>
      <w:r>
        <w:rPr>
          <w:b/>
          <w:color w:val="1D5C7F"/>
          <w:sz w:val="20"/>
        </w:rPr>
        <w:t xml:space="preserve"> Status: </w:t>
      </w:r>
      <w:r>
        <w:rPr>
          <w:b/>
          <w:color w:val="009878"/>
          <w:sz w:val="20"/>
        </w:rPr>
        <w:t>Excellent</w:t>
      </w:r>
    </w:p>
    <w:p>
      <w:pPr>
        <w:spacing w:before="80" w:after="120"/>
        <w:jc w:val="left"/>
      </w:pPr>
      <w:r>
        <w:rPr>
          <w:b w:val="0"/>
          <w:i w:val="0"/>
          <w:sz w:val="20"/>
        </w:rPr>
        <w:t>During the reporting period, the system remained under good control. The mild steel and copper corrosion rates averaged 0.95 mpy and 0.09 mpy, respectively, both of which are well within the recommended limits of &lt;5 mpy and &lt;0.5 mpy.</w:t>
      </w:r>
    </w:p>
    <w:p>
      <w:pPr>
        <w:spacing w:before="160" w:after="40"/>
      </w:pPr>
      <w:r>
        <w:rPr>
          <w:b/>
          <w:color w:val="212529"/>
          <w:sz w:val="22"/>
        </w:rPr>
        <w:t>Scale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Traced Product was within the recommended range for 45.3% of the reporting month. Polymer consumption rate averaged 41.6% and increased from 41.6% at the start of the month to 44.8% at the end of the month. Conductivity was within the recommended range for 5.4% of the reporting month. End-of-month Traced Product was 89.3% higher than the setpoint, and conductivity was also not maintained, so the product trend should be treated as conductivity-related until cycles, blowdown, makeup, or dilution behavior is corrected.</w:t>
      </w:r>
    </w:p>
    <w:p>
      <w:pPr>
        <w:spacing w:before="160" w:after="40"/>
      </w:pPr>
      <w:r>
        <w:rPr>
          <w:b/>
          <w:color w:val="212529"/>
          <w:sz w:val="22"/>
        </w:rPr>
        <w:t>Microbial Control</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Insufficient ORP spike was observed during oxidizing biocide application, so oxidizing biocide feed response should be reviewed during the upcoming service visit. FRC and dip-slide will be analysed in the upcoming visit to ensure good microbial control.</w:t>
      </w:r>
    </w:p>
    <w:p>
      <w:pPr>
        <w:spacing w:before="200" w:after="80"/>
      </w:pPr>
      <w:r>
        <w:rPr>
          <w:b/>
          <w:color w:val="1D5C7F"/>
          <w:sz w:val="26"/>
        </w:rPr>
        <w:t>Water Efficiency</w:t>
      </w:r>
    </w:p>
    <w:p>
      <w:pPr>
        <w:spacing w:before="60" w:after="100"/>
        <w:shd w:val="clear" w:color="auto" w:fill="F7F7F7"/>
      </w:pPr>
      <w:r>
        <w:rPr>
          <w:b/>
          <w:color w:val="1D5C7F"/>
          <w:sz w:val="20"/>
        </w:rPr>
        <w:t xml:space="preserve"> Status: </w:t>
      </w:r>
      <w:r>
        <w:rPr>
          <w:b/>
          <w:color w:val="009878"/>
          <w:sz w:val="20"/>
        </w:rPr>
        <w:t>Excellent</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MU Conductivity</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Target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Actual COC</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Deviation</w:t>
            </w:r>
          </w:p>
        </w:tc>
        <w:tc>
          <w:tcPr>
            <w:tcW w:type="dxa" w:w="1928"/>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300.0 µS/cm</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2.0</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2.23</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11.5%</w:t>
            </w:r>
          </w:p>
        </w:tc>
        <w:tc>
          <w:tcPr>
            <w:tcW w:type="dxa" w:w="1928"/>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Excellent</w:t>
            </w:r>
          </w:p>
        </w:tc>
      </w:tr>
    </w:tbl>
    <w:p/>
    <w:p>
      <w:pPr>
        <w:spacing w:before="80" w:after="120"/>
        <w:jc w:val="left"/>
      </w:pPr>
      <w:r>
        <w:rPr>
          <w:b w:val="0"/>
          <w:i w:val="0"/>
          <w:sz w:val="20"/>
        </w:rPr>
        <w:t>The average conductivity is 668.8 µS/cm, which is above the recommended setpoint range of 570-630 µS/cm. Conductivity increased from about 633.9 µS/cm at the start of the month to 703.6 µS/cm at the end. Recommendation: reduced blowdown, higher cycles, evaporation concentration, or concentrated makeup is raising conductivity.</w:t>
      </w:r>
    </w:p>
    <w:p>
      <w:pPr>
        <w:spacing w:before="200" w:after="80"/>
      </w:pPr>
      <w:r>
        <w:rPr>
          <w:b/>
          <w:color w:val="1D5C7F"/>
          <w:sz w:val="26"/>
        </w:rPr>
        <w:t>Product Efficiency</w:t>
      </w:r>
    </w:p>
    <w:p>
      <w:pPr>
        <w:spacing w:before="60" w:after="100"/>
        <w:shd w:val="clear" w:color="auto" w:fill="F7F7F7"/>
      </w:pPr>
      <w:r>
        <w:rPr>
          <w:b/>
          <w:color w:val="1D5C7F"/>
          <w:sz w:val="20"/>
        </w:rPr>
        <w:t xml:space="preserve"> Status: </w:t>
      </w:r>
      <w:r>
        <w:rPr>
          <w:b/>
          <w:color w:val="B8860B"/>
          <w:sz w:val="20"/>
        </w:rPr>
        <w:t>Acceptable</w:t>
      </w:r>
    </w:p>
    <w:p>
      <w:pPr>
        <w:spacing w:before="80" w:after="120"/>
        <w:jc w:val="left"/>
      </w:pPr>
      <w:r>
        <w:rPr>
          <w:b w:val="0"/>
          <w:i w:val="0"/>
          <w:sz w:val="20"/>
        </w:rPr>
        <w:t>Product efficiency needs attention because Traced Product averaged 53.22 ppm against the 30.00 ppm setpoint and the 28.00-32.00 ppm control range. Because conductivity was also high and not maintained, product control should be reviewed together with cycles, blowdown, makeup, and dilution behavior before changing feed settings.</w:t>
      </w:r>
    </w:p>
    <w:p>
      <w:pPr>
        <w:spacing w:before="80" w:after="120"/>
        <w:jc w:val="left"/>
      </w:pPr>
      <w:r>
        <w:rPr>
          <w:b w:val="0"/>
          <w:i w:val="0"/>
          <w:sz w:val="20"/>
        </w:rPr>
        <w:t>The target consumption rate is 83.8 pounds/month whereas current consumption rate is 148.6 pounds. There is increase in consumption by 64.8 pounds, indicating overdosage.</w:t>
      </w:r>
    </w:p>
    <w:p>
      <w:pPr>
        <w:spacing w:before="200" w:after="80"/>
      </w:pPr>
      <w:r>
        <w:rPr>
          <w:b/>
          <w:color w:val="1D5C7F"/>
          <w:sz w:val="26"/>
        </w:rPr>
        <w:t>Proactive System Support</w:t>
      </w:r>
    </w:p>
    <w:p>
      <w:pPr>
        <w:spacing w:before="80" w:after="120"/>
        <w:jc w:val="left"/>
      </w:pPr>
      <w:r>
        <w:rPr>
          <w:b w:val="0"/>
          <w:i w:val="0"/>
          <w:sz w:val="20"/>
        </w:rPr>
        <w:t>Recommended follow-up: Confirm inhibitor residual, inspect for deposit activity, and compare corrosion movement with ORP and product trends. Traced Product deviation remained at about 87.1% in the last 7 days, so correct the conductivity trend by checking cycles, blowdown, makeup, and dilution behavior before changing feed settings. Check FRC during the upcoming service visit to confirm oxidizing biocide residual. Measure dip-slide CFU during the upcoming service visit to confirm microbial control. Verify phosphate and silica residuals during the next service visit.</w:t>
      </w:r>
    </w:p>
    <w:p>
      <w:r>
        <w:br w:type="page"/>
      </w:r>
    </w:p>
    <w:p>
      <w:pPr>
        <w:spacing w:before="280" w:after="140"/>
        <w:shd w:val="clear" w:color="auto" w:fill="009878"/>
      </w:pPr>
      <w:r>
        <w:rPr>
          <w:b/>
          <w:color w:val="FFFFFF"/>
          <w:sz w:val="24"/>
        </w:rPr>
        <w:t xml:space="preserve">  Performance Summary</w:t>
      </w:r>
    </w:p>
    <w:p>
      <w:pPr>
        <w:spacing w:before="80" w:after="120"/>
        <w:jc w:val="left"/>
      </w:pPr>
      <w:r>
        <w:rPr>
          <w:b w:val="0"/>
          <w:i/>
          <w:color w:val="686868"/>
          <w:sz w:val="18"/>
        </w:rPr>
        <w:t>Controller Setpoints are used as control limits below. % In Range is calculated from the full reporting month telemetry.</w:t>
      </w:r>
    </w:p>
    <w:tbl>
      <w:tblPr>
        <w:tblStyle w:val="TableGrid"/>
        <w:tblW w:type="auto" w:w="0"/>
        <w:tblLook w:firstColumn="1" w:firstRow="1" w:lastColumn="0" w:lastRow="0" w:noHBand="0" w:noVBand="1" w:val="04A0"/>
      </w:tblPr>
      <w:tblGrid>
        <w:gridCol w:w="1441"/>
        <w:gridCol w:w="1441"/>
        <w:gridCol w:w="1441"/>
        <w:gridCol w:w="1441"/>
        <w:gridCol w:w="1441"/>
        <w:gridCol w:w="1441"/>
        <w:gridCol w:w="1441"/>
      </w:tblGrid>
      <w:tr>
        <w:tc>
          <w:tcPr>
            <w:tcW w:type="dxa" w:w="204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Parameter</w:t>
            </w:r>
          </w:p>
        </w:tc>
        <w:tc>
          <w:tcPr>
            <w:tcW w:type="dxa" w:w="141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Context Point</w:t>
            </w:r>
          </w:p>
        </w:tc>
        <w:tc>
          <w:tcPr>
            <w:tcW w:type="dxa" w:w="1020"/>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Average</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Lower Limit</w:t>
            </w:r>
          </w:p>
        </w:tc>
        <w:tc>
          <w:tcPr>
            <w:tcW w:type="dxa" w:w="1077"/>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Upper Limit</w:t>
            </w:r>
          </w:p>
        </w:tc>
        <w:tc>
          <w:tcPr>
            <w:tcW w:type="dxa" w:w="1134"/>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 In Range</w:t>
            </w:r>
          </w:p>
        </w:tc>
        <w:tc>
          <w:tcPr>
            <w:tcW w:type="dxa" w:w="1361"/>
            <w:vAlign w:val="center"/>
            <w:shd w:val="clear" w:color="auto" w:fill="009878"/>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b/>
                <w:color w:val="FFFFFF"/>
                <w:sz w:val="18"/>
              </w:rPr>
              <w:t>Status</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MS (MPY)</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0.948</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Corrosion – Cu (MPY)</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0.088</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Traced Product (ppm)</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53.221</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28.0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32.0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45.3%</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Acceptable</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Conductivity (µS/cm)</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668.760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570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630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5.4%</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Critical</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pH</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8.729</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Turbidity (NTU)</w:t>
            </w:r>
          </w:p>
        </w:tc>
        <w:tc>
          <w:tcPr>
            <w:tcW w:type="dxa" w:w="141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14.865</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75.0</w:t>
            </w:r>
          </w:p>
        </w:tc>
        <w:tc>
          <w:tcPr>
            <w:tcW w:type="dxa" w:w="1134"/>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7F7F7"/>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r>
        <w:tc>
          <w:tcPr>
            <w:tcW w:type="dxa" w:w="204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Cell Fouling (%)</w:t>
            </w:r>
          </w:p>
        </w:tc>
        <w:tc>
          <w:tcPr>
            <w:tcW w:type="dxa" w:w="141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ACM Skid</w:t>
            </w:r>
          </w:p>
        </w:tc>
        <w:tc>
          <w:tcPr>
            <w:tcW w:type="dxa" w:w="1020"/>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6.463</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0.0</w:t>
            </w:r>
          </w:p>
        </w:tc>
        <w:tc>
          <w:tcPr>
            <w:tcW w:type="dxa" w:w="1077"/>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30.0</w:t>
            </w:r>
          </w:p>
        </w:tc>
        <w:tc>
          <w:tcPr>
            <w:tcW w:type="dxa" w:w="1134"/>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100.0%</w:t>
            </w:r>
          </w:p>
        </w:tc>
        <w:tc>
          <w:tcPr>
            <w:tcW w:type="dxa" w:w="1361"/>
            <w:vAlign w:val="center"/>
            <w:shd w:val="clear" w:color="auto" w:fill="FFFFFF"/>
            <w:tcBorders>
              <w:top w:val="single" w:sz="4" w:space="0" w:color="D0D0D0"/>
              <w:left w:val="single" w:sz="4" w:space="0" w:color="D0D0D0"/>
              <w:bottom w:val="single" w:sz="4" w:space="0" w:color="D0D0D0"/>
              <w:right w:val="single" w:sz="4" w:space="0" w:color="D0D0D0"/>
            </w:tcBorders>
            <w:tcMar>
              <w:top w:w="90" w:type="dxa"/>
              <w:start w:w="120" w:type="dxa"/>
              <w:bottom w:w="90" w:type="dxa"/>
              <w:end w:w="120" w:type="dxa"/>
            </w:tcMar>
          </w:tcPr>
          <w:p>
            <w:pPr>
              <w:spacing w:before="60" w:after="60"/>
            </w:pPr>
            <w:r>
              <w:rPr>
                <w:sz w:val="18"/>
              </w:rPr>
              <w:t>✓ Excellent</w:t>
            </w:r>
          </w:p>
        </w:tc>
      </w:tr>
    </w:tbl>
    <w:p/>
    <w:p>
      <w:r>
        <w:br w:type="page"/>
      </w:r>
    </w:p>
    <w:p>
      <w:pPr>
        <w:spacing w:before="280" w:after="140"/>
        <w:shd w:val="clear" w:color="auto" w:fill="009878"/>
      </w:pPr>
      <w:r>
        <w:rPr>
          <w:b/>
          <w:color w:val="FFFFFF"/>
          <w:sz w:val="24"/>
        </w:rPr>
        <w:t xml:space="preserve">  Charts and Comments</w:t>
      </w:r>
    </w:p>
    <w:p>
      <w:pPr>
        <w:spacing w:before="200" w:after="80"/>
      </w:pPr>
      <w:r>
        <w:rPr>
          <w:b/>
          <w:color w:val="1D5C7F"/>
          <w:sz w:val="26"/>
        </w:rPr>
        <w:t>Corrosion Rate</w:t>
      </w:r>
    </w:p>
    <w:p>
      <w:pPr>
        <w:jc w:val="center"/>
      </w:pPr>
      <w:r>
        <w:drawing>
          <wp:inline xmlns:a="http://schemas.openxmlformats.org/drawingml/2006/main" xmlns:pic="http://schemas.openxmlformats.org/drawingml/2006/picture">
            <wp:extent cx="5486400" cy="2582656"/>
            <wp:docPr id="1" name="Picture 1"/>
            <wp:cNvGraphicFramePr>
              <a:graphicFrameLocks noChangeAspect="1"/>
            </wp:cNvGraphicFramePr>
            <a:graphic>
              <a:graphicData uri="http://schemas.openxmlformats.org/drawingml/2006/picture">
                <pic:pic>
                  <pic:nvPicPr>
                    <pic:cNvPr id="0" name="candler_hospital_savannah_ga_us_controllers_84253f5fb67b_84253fab8c75_august_2026_corrosion.png"/>
                    <pic:cNvPicPr/>
                  </pic:nvPicPr>
                  <pic:blipFill>
                    <a:blip r:embed="rId11"/>
                    <a:stretch>
                      <a:fillRect/>
                    </a:stretch>
                  </pic:blipFill>
                  <pic:spPr>
                    <a:xfrm>
                      <a:off x="0" y="0"/>
                      <a:ext cx="5486400" cy="2582656"/>
                    </a:xfrm>
                    <a:prstGeom prst="rect"/>
                  </pic:spPr>
                </pic:pic>
              </a:graphicData>
            </a:graphic>
          </wp:inline>
        </w:drawing>
      </w:r>
    </w:p>
    <w:p>
      <w:pPr>
        <w:spacing w:after="120"/>
        <w:jc w:val="center"/>
      </w:pPr>
      <w:r>
        <w:rPr>
          <w:i/>
          <w:color w:val="686868"/>
          <w:sz w:val="17"/>
        </w:rPr>
        <w:t>Figure 1: Corrosion Rate — August 2026</w:t>
      </w:r>
    </w:p>
    <w:p>
      <w:pPr>
        <w:spacing w:before="40" w:after="200"/>
      </w:pPr>
      <w:r>
        <w:rPr>
          <w:b/>
          <w:i/>
          <w:color w:val="1D5C7F"/>
          <w:sz w:val="19"/>
        </w:rPr>
        <w:t xml:space="preserve">Comment: </w:t>
      </w:r>
      <w:r>
        <w:rPr>
          <w:i/>
          <w:color w:val="333333"/>
          <w:sz w:val="19"/>
        </w:rPr>
        <w:t>During the reporting period, the system remained under good control. The mild steel and copper corrosion rates averaged 0.95 mpy and 0.09 mpy, respectively, both of which are well within the recommended limits of &lt;5 mpy and &lt;0.5 mpy.</w:t>
      </w:r>
    </w:p>
    <w:p>
      <w:pPr>
        <w:spacing w:before="200" w:after="80"/>
      </w:pPr>
      <w:r>
        <w:rPr>
          <w:b/>
          <w:color w:val="1D5C7F"/>
          <w:sz w:val="26"/>
        </w:rPr>
        <w:t>Traced Product Control Trend</w:t>
      </w:r>
    </w:p>
    <w:p>
      <w:pPr>
        <w:jc w:val="center"/>
      </w:pPr>
      <w:r>
        <w:drawing>
          <wp:inline xmlns:a="http://schemas.openxmlformats.org/drawingml/2006/main" xmlns:pic="http://schemas.openxmlformats.org/drawingml/2006/picture">
            <wp:extent cx="5486400" cy="2578283"/>
            <wp:docPr id="2" name="Picture 2"/>
            <wp:cNvGraphicFramePr>
              <a:graphicFrameLocks noChangeAspect="1"/>
            </wp:cNvGraphicFramePr>
            <a:graphic>
              <a:graphicData uri="http://schemas.openxmlformats.org/drawingml/2006/picture">
                <pic:pic>
                  <pic:nvPicPr>
                    <pic:cNvPr id="0" name="candler_hospital_savannah_ga_us_controllers_84253f5fb67b_84253fab8c75_august_2026_traced_product.png"/>
                    <pic:cNvPicPr/>
                  </pic:nvPicPr>
                  <pic:blipFill>
                    <a:blip r:embed="rId12"/>
                    <a:stretch>
                      <a:fillRect/>
                    </a:stretch>
                  </pic:blipFill>
                  <pic:spPr>
                    <a:xfrm>
                      <a:off x="0" y="0"/>
                      <a:ext cx="5486400" cy="2578283"/>
                    </a:xfrm>
                    <a:prstGeom prst="rect"/>
                  </pic:spPr>
                </pic:pic>
              </a:graphicData>
            </a:graphic>
          </wp:inline>
        </w:drawing>
      </w:r>
    </w:p>
    <w:p>
      <w:pPr>
        <w:spacing w:after="120"/>
        <w:jc w:val="center"/>
      </w:pPr>
      <w:r>
        <w:rPr>
          <w:i/>
          <w:color w:val="686868"/>
          <w:sz w:val="17"/>
        </w:rPr>
        <w:t>Figure 2: Traced Product — August 2026</w:t>
      </w:r>
    </w:p>
    <w:p>
      <w:pPr>
        <w:spacing w:before="40" w:after="200"/>
      </w:pPr>
      <w:r>
        <w:rPr>
          <w:b/>
          <w:i/>
          <w:color w:val="1D5C7F"/>
          <w:sz w:val="19"/>
        </w:rPr>
        <w:t xml:space="preserve">Comment: </w:t>
      </w:r>
      <w:r>
        <w:rPr>
          <w:i/>
          <w:color w:val="333333"/>
          <w:sz w:val="19"/>
        </w:rPr>
        <w:t>Traced Product was maintained within the setpoint range of 28.0-32.0 ppm only 45.3% of the time.</w:t>
      </w:r>
      <w:r>
        <w:br/>
      </w:r>
      <w:r>
        <w:rPr>
          <w:i/>
          <w:color w:val="333333"/>
          <w:sz w:val="19"/>
        </w:rPr>
        <w:t>The trend moved from about 52.1 ppm at the start to 54.3 ppm at the end.</w:t>
      </w:r>
      <w:r>
        <w:br/>
      </w:r>
      <w:r>
        <w:rPr>
          <w:i/>
          <w:color w:val="333333"/>
          <w:sz w:val="19"/>
        </w:rPr>
        <w:t>The Traced Product increase correlates with the increase in conductivity, indicating the product trend is linked to tower concentration; the blowdown and makeup water valves will be inspected so product can be maintained in good control in future.</w:t>
      </w:r>
    </w:p>
    <w:p>
      <w:pPr>
        <w:spacing w:before="200" w:after="80"/>
      </w:pPr>
      <w:r>
        <w:rPr>
          <w:b/>
          <w:color w:val="1D5C7F"/>
          <w:sz w:val="26"/>
        </w:rPr>
        <w:t>ORP vs Copper Corrosion Rate</w:t>
      </w:r>
    </w:p>
    <w:p>
      <w:pPr>
        <w:jc w:val="center"/>
      </w:pPr>
      <w:r>
        <w:drawing>
          <wp:inline xmlns:a="http://schemas.openxmlformats.org/drawingml/2006/main" xmlns:pic="http://schemas.openxmlformats.org/drawingml/2006/picture">
            <wp:extent cx="5486400" cy="2584849"/>
            <wp:docPr id="3" name="Picture 3"/>
            <wp:cNvGraphicFramePr>
              <a:graphicFrameLocks noChangeAspect="1"/>
            </wp:cNvGraphicFramePr>
            <a:graphic>
              <a:graphicData uri="http://schemas.openxmlformats.org/drawingml/2006/picture">
                <pic:pic>
                  <pic:nvPicPr>
                    <pic:cNvPr id="0" name="candler_hospital_savannah_ga_us_controllers_84253f5fb67b_84253fab8c75_august_2026_orp_corrosion.png"/>
                    <pic:cNvPicPr/>
                  </pic:nvPicPr>
                  <pic:blipFill>
                    <a:blip r:embed="rId13"/>
                    <a:stretch>
                      <a:fillRect/>
                    </a:stretch>
                  </pic:blipFill>
                  <pic:spPr>
                    <a:xfrm>
                      <a:off x="0" y="0"/>
                      <a:ext cx="5486400" cy="2584849"/>
                    </a:xfrm>
                    <a:prstGeom prst="rect"/>
                  </pic:spPr>
                </pic:pic>
              </a:graphicData>
            </a:graphic>
          </wp:inline>
        </w:drawing>
      </w:r>
    </w:p>
    <w:p>
      <w:pPr>
        <w:spacing w:after="120"/>
        <w:jc w:val="center"/>
      </w:pPr>
      <w:r>
        <w:rPr>
          <w:i/>
          <w:color w:val="686868"/>
          <w:sz w:val="17"/>
        </w:rPr>
        <w:t>Figure 3: ORP vs Copper Corrosion Rate — August 2026</w:t>
      </w:r>
    </w:p>
    <w:p>
      <w:pPr>
        <w:spacing w:before="40" w:after="200"/>
      </w:pPr>
      <w:r>
        <w:rPr>
          <w:b/>
          <w:i/>
          <w:color w:val="1D5C7F"/>
          <w:sz w:val="19"/>
        </w:rPr>
        <w:t xml:space="preserve">Comment: </w:t>
      </w:r>
      <w:r>
        <w:rPr>
          <w:i/>
          <w:color w:val="333333"/>
          <w:sz w:val="19"/>
        </w:rPr>
        <w:t>ORP did not show more than 50 mV spikes at least three times during the week from 08 August 2026 to 14 August 2026; no slug dosage of biocide is observed during this period. This could be due to lack of inventory, dosing pump lost prime, or a leak in the pump discharge line.</w:t>
      </w:r>
      <w:r>
        <w:br/>
      </w:r>
      <w:r>
        <w:rPr>
          <w:i/>
          <w:color w:val="333333"/>
          <w:sz w:val="19"/>
        </w:rPr>
        <w:t>Copper corrosion remained within the recommended limit of 0.5 mpy.</w:t>
      </w:r>
    </w:p>
    <w:p>
      <w:pPr>
        <w:spacing w:before="200" w:after="80"/>
      </w:pPr>
      <w:r>
        <w:rPr>
          <w:b/>
          <w:color w:val="1D5C7F"/>
          <w:sz w:val="26"/>
        </w:rPr>
        <w:t>Electrode Conductivity</w:t>
      </w:r>
    </w:p>
    <w:p>
      <w:pPr>
        <w:jc w:val="center"/>
      </w:pPr>
      <w:r>
        <w:drawing>
          <wp:inline xmlns:a="http://schemas.openxmlformats.org/drawingml/2006/main" xmlns:pic="http://schemas.openxmlformats.org/drawingml/2006/picture">
            <wp:extent cx="5486400" cy="2578283"/>
            <wp:docPr id="4" name="Picture 4"/>
            <wp:cNvGraphicFramePr>
              <a:graphicFrameLocks noChangeAspect="1"/>
            </wp:cNvGraphicFramePr>
            <a:graphic>
              <a:graphicData uri="http://schemas.openxmlformats.org/drawingml/2006/picture">
                <pic:pic>
                  <pic:nvPicPr>
                    <pic:cNvPr id="0" name="candler_hospital_savannah_ga_us_controllers_84253f5fb67b_84253fab8c75_august_2026_conductivity.png"/>
                    <pic:cNvPicPr/>
                  </pic:nvPicPr>
                  <pic:blipFill>
                    <a:blip r:embed="rId14"/>
                    <a:stretch>
                      <a:fillRect/>
                    </a:stretch>
                  </pic:blipFill>
                  <pic:spPr>
                    <a:xfrm>
                      <a:off x="0" y="0"/>
                      <a:ext cx="5486400" cy="2578283"/>
                    </a:xfrm>
                    <a:prstGeom prst="rect"/>
                  </pic:spPr>
                </pic:pic>
              </a:graphicData>
            </a:graphic>
          </wp:inline>
        </w:drawing>
      </w:r>
    </w:p>
    <w:p>
      <w:pPr>
        <w:spacing w:after="120"/>
        <w:jc w:val="center"/>
      </w:pPr>
      <w:r>
        <w:rPr>
          <w:i/>
          <w:color w:val="686868"/>
          <w:sz w:val="17"/>
        </w:rPr>
        <w:t>Figure 4: Electrode Conductivity — August 2026</w:t>
      </w:r>
    </w:p>
    <w:p>
      <w:pPr>
        <w:spacing w:before="40" w:after="200"/>
      </w:pPr>
      <w:r>
        <w:rPr>
          <w:b/>
          <w:i/>
          <w:color w:val="1D5C7F"/>
          <w:sz w:val="19"/>
        </w:rPr>
        <w:t xml:space="preserve">Comment: </w:t>
      </w:r>
      <w:r>
        <w:rPr>
          <w:i/>
          <w:color w:val="333333"/>
          <w:sz w:val="19"/>
        </w:rPr>
        <w:t>The average conductivity is 668.8 µS/cm, which is above the recommended setpoint range of 570-630 µS/cm. Conductivity increased from about 633.9 µS/cm at the start of the month to 703.6 µS/cm at the end. Recommendation: reduced blowdown, higher cycles, evaporation concentration, or concentrated makeup is raising conductivity.</w:t>
      </w:r>
    </w:p>
    <w:p>
      <w:r>
        <w:br w:type="page"/>
      </w:r>
    </w:p>
    <w:p>
      <w:pPr>
        <w:spacing w:before="280" w:after="140"/>
        <w:shd w:val="clear" w:color="auto" w:fill="009878"/>
      </w:pPr>
      <w:r>
        <w:rPr>
          <w:b/>
          <w:color w:val="FFFFFF"/>
          <w:sz w:val="24"/>
        </w:rPr>
        <w:t xml:space="preserve">  Closing Summary</w:t>
      </w:r>
    </w:p>
    <w:p>
      <w:pPr>
        <w:spacing w:before="80" w:after="120"/>
        <w:jc w:val="left"/>
      </w:pPr>
      <w:r>
        <w:rPr>
          <w:b w:val="0"/>
          <w:i w:val="0"/>
          <w:sz w:val="20"/>
        </w:rPr>
        <w:t>Overall August performance for Candler main showed Excellent corrosion control and Acceptable microbial control, while conductivity and Traced Product control require follow-up. The primary action is to correct the high conductivity trend first because the Traced Product deviation is linked with conductivity behavior. After cycles and blowdown control are stabilized, product residual and polymer efficiency should be verified during the next service visit.</w:t>
      </w:r>
    </w:p>
    <w:sectPr w:rsidR="00FC693F" w:rsidRPr="0006063C" w:rsidSect="00034616">
      <w:headerReference w:type="default" r:id="rId9"/>
      <w:footerReference w:type="default" r:id="rId10"/>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86868"/>
        <w:sz w:val="16"/>
      </w:rPr>
      <w:t>Buckman Digital Water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00857C"/>
      </w:pBdr>
    </w:pPr>
    <w:r>
      <w:rPr>
        <w:color w:val="686868"/>
        <w:sz w:val="16"/>
      </w:rPr>
      <w:t>Buckman  |  Candler Hospital Savannah GA (US)  |  August 2026 Cooling Water Performance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