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60"/>
        <w:jc w:val="center"/>
      </w:pPr>
      <w:r>
        <w:rPr>
          <w:b/>
          <w:i w:val="0"/>
          <w:color w:val="686868"/>
          <w:sz w:val="20"/>
        </w:rPr>
        <w:t>BUCKMAN DIGITAL WATER</w:t>
      </w:r>
    </w:p>
    <w:p>
      <w:pPr>
        <w:spacing w:before="60" w:after="60"/>
        <w:jc w:val="center"/>
      </w:pPr>
      <w:r>
        <w:rPr>
          <w:b/>
          <w:i w:val="0"/>
          <w:sz w:val="40"/>
        </w:rPr>
        <w:t>Monthly Cooling Water Performance Report</w:t>
      </w:r>
    </w:p>
    <w:p>
      <w:pPr>
        <w:spacing w:before="60" w:after="200"/>
        <w:jc w:val="center"/>
      </w:pPr>
      <w:r>
        <w:rPr>
          <w:b/>
          <w:i w:val="0"/>
          <w:color w:val="009878"/>
          <w:sz w:val="30"/>
        </w:rPr>
        <w:t>Candler Hospital Savannah GA (US)</w:t>
      </w:r>
    </w:p>
    <w:p>
      <w:pPr>
        <w:spacing w:before="60" w:after="360"/>
        <w:jc w:val="center"/>
      </w:pPr>
      <w:r>
        <w:rPr>
          <w:b w:val="0"/>
          <w:i w:val="0"/>
          <w:color w:val="686868"/>
          <w:sz w:val="20"/>
        </w:rPr>
        <w:t>Reporting Month: August 2026</w:t>
      </w:r>
    </w:p>
    <w:tbl>
      <w:tblPr>
        <w:tblStyle w:val="TableGrid"/>
        <w:tblW w:type="auto" w:w="0"/>
        <w:tblLook w:firstColumn="1" w:firstRow="1" w:lastColumn="0" w:lastRow="0" w:noHBand="0" w:noVBand="1" w:val="04A0"/>
      </w:tblPr>
      <w:tblGrid>
        <w:gridCol w:w="2521"/>
        <w:gridCol w:w="2521"/>
        <w:gridCol w:w="2521"/>
        <w:gridCol w:w="2521"/>
      </w:tblGrid>
      <w:tr>
        <w:tc>
          <w:tcPr>
            <w:tcW w:type="dxa" w:w="311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Customer / Site</w:t>
            </w:r>
          </w:p>
        </w:tc>
        <w:tc>
          <w:tcPr>
            <w:tcW w:type="dxa" w:w="1701"/>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System</w:t>
            </w:r>
          </w:p>
        </w:tc>
        <w:tc>
          <w:tcPr>
            <w:tcW w:type="dxa" w:w="1984"/>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Controller</w:t>
            </w:r>
          </w:p>
        </w:tc>
        <w:tc>
          <w:tcPr>
            <w:tcW w:type="dxa" w:w="2551"/>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Prepared For</w:t>
            </w:r>
          </w:p>
        </w:tc>
      </w:tr>
      <w:tr>
        <w:tc>
          <w:tcPr>
            <w:tcW w:type="dxa" w:w="311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Candler Hospital Savannah GA (US)</w:t>
            </w:r>
          </w:p>
        </w:tc>
        <w:tc>
          <w:tcPr>
            <w:tcW w:type="dxa" w:w="170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Cooling Tower</w:t>
            </w:r>
          </w:p>
        </w:tc>
        <w:tc>
          <w:tcPr>
            <w:tcW w:type="dxa" w:w="1984"/>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84253FAB8C75</w:t>
            </w:r>
          </w:p>
        </w:tc>
        <w:tc>
          <w:tcPr>
            <w:tcW w:type="dxa" w:w="255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Monthly Performance Review</w:t>
            </w:r>
          </w:p>
        </w:tc>
      </w:tr>
    </w:tbl>
    <w:p/>
    <w:p>
      <w:pPr>
        <w:spacing w:before="200" w:after="120"/>
        <w:jc w:val="left"/>
      </w:pPr>
    </w:p>
    <w:p>
      <w:pPr>
        <w:spacing w:before="80" w:after="120"/>
        <w:jc w:val="center"/>
      </w:pPr>
      <w:r>
        <w:rPr>
          <w:b w:val="0"/>
          <w:i w:val="0"/>
          <w:color w:val="686868"/>
          <w:sz w:val="19"/>
        </w:rPr>
        <w:t>This report summarises corrosion control, scale control, microbial control, water efficiency, product efficiency, and proactive system support for Candler Hospital Savannah GA (US), August 2026, using controller setpoints, telemetry KPIs, field data, and service note records.</w:t>
      </w:r>
    </w:p>
    <w:p>
      <w:pPr>
        <w:spacing w:before="200" w:after="120"/>
        <w:jc w:val="left"/>
      </w:pPr>
    </w:p>
    <w:tbl>
      <w:tblPr>
        <w:tblStyle w:val="TableGrid"/>
        <w:tblW w:type="auto" w:w="0"/>
        <w:tblLook w:firstColumn="1" w:firstRow="1" w:lastColumn="0" w:lastRow="0" w:noHBand="0" w:noVBand="1" w:val="04A0"/>
      </w:tblPr>
      <w:tblGrid>
        <w:gridCol w:w="3362"/>
        <w:gridCol w:w="3362"/>
        <w:gridCol w:w="3362"/>
      </w:tblGrid>
      <w:tr>
        <w:tc>
          <w:tcPr>
            <w:tcW w:type="dxa" w:w="311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Prepared By</w:t>
            </w:r>
          </w:p>
        </w:tc>
        <w:tc>
          <w:tcPr>
            <w:tcW w:type="dxa" w:w="2835"/>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Prepared Date</w:t>
            </w:r>
          </w:p>
        </w:tc>
        <w:tc>
          <w:tcPr>
            <w:tcW w:type="dxa" w:w="3402"/>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Report Status</w:t>
            </w:r>
          </w:p>
        </w:tc>
      </w:tr>
      <w:tr>
        <w:tc>
          <w:tcPr>
            <w:tcW w:type="dxa" w:w="311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Buckman Digital Water</w:t>
            </w:r>
          </w:p>
        </w:tc>
        <w:tc>
          <w:tcPr>
            <w:tcW w:type="dxa" w:w="2835"/>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23 September 2026</w:t>
            </w:r>
          </w:p>
        </w:tc>
        <w:tc>
          <w:tcPr>
            <w:tcW w:type="dxa" w:w="3402"/>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Draft</w:t>
            </w:r>
          </w:p>
        </w:tc>
      </w:tr>
    </w:tbl>
    <w:p/>
    <w:p>
      <w:r>
        <w:br w:type="page"/>
      </w:r>
    </w:p>
    <w:p>
      <w:pPr>
        <w:spacing w:before="280" w:after="140"/>
        <w:shd w:val="clear" w:color="auto" w:fill="009878"/>
      </w:pPr>
      <w:r>
        <w:rPr>
          <w:b/>
          <w:color w:val="FFFFFF"/>
          <w:sz w:val="24"/>
        </w:rPr>
        <w:t xml:space="preserve">  Executive Summary</w:t>
      </w:r>
    </w:p>
    <w:p>
      <w:pPr>
        <w:spacing w:before="200" w:after="80"/>
      </w:pPr>
      <w:r>
        <w:rPr>
          <w:b/>
          <w:color w:val="1D5C7F"/>
          <w:sz w:val="26"/>
        </w:rPr>
        <w:t>System Health Check</w:t>
      </w:r>
    </w:p>
    <w:p>
      <w:pPr>
        <w:spacing w:before="160" w:after="40"/>
      </w:pPr>
      <w:r>
        <w:rPr>
          <w:b/>
          <w:color w:val="212529"/>
          <w:sz w:val="22"/>
        </w:rPr>
        <w:t>Corrosion Control</w:t>
      </w:r>
    </w:p>
    <w:p>
      <w:pPr>
        <w:spacing w:before="60" w:after="100"/>
        <w:shd w:val="clear" w:color="auto" w:fill="F7F7F7"/>
      </w:pPr>
      <w:r>
        <w:rPr>
          <w:b/>
          <w:color w:val="1D5C7F"/>
          <w:sz w:val="20"/>
        </w:rPr>
        <w:t xml:space="preserve"> Status: </w:t>
      </w:r>
      <w:r>
        <w:rPr>
          <w:b/>
          <w:color w:val="009878"/>
          <w:sz w:val="20"/>
        </w:rPr>
        <w:t>Excellent</w:t>
      </w:r>
    </w:p>
    <w:p>
      <w:pPr>
        <w:spacing w:before="80" w:after="120"/>
        <w:jc w:val="left"/>
      </w:pPr>
      <w:r>
        <w:rPr>
          <w:b w:val="0"/>
          <w:i w:val="0"/>
          <w:sz w:val="20"/>
        </w:rPr>
        <w:t>During the reporting period, the system remained under good control. The mild steel and copper corrosion rates averaged 0.51 mpy and 0.11 mpy, respectively, both of which are well within the recommended limits of &lt;5 mpy and &lt;0.5 mpy.</w:t>
      </w:r>
    </w:p>
    <w:p>
      <w:pPr>
        <w:spacing w:before="160" w:after="40"/>
      </w:pPr>
      <w:r>
        <w:rPr>
          <w:b/>
          <w:color w:val="212529"/>
          <w:sz w:val="22"/>
        </w:rPr>
        <w:t>Scale Control</w:t>
      </w:r>
    </w:p>
    <w:p>
      <w:pPr>
        <w:spacing w:before="60" w:after="100"/>
        <w:shd w:val="clear" w:color="auto" w:fill="F7F7F7"/>
      </w:pPr>
      <w:r>
        <w:rPr>
          <w:b/>
          <w:color w:val="1D5C7F"/>
          <w:sz w:val="20"/>
        </w:rPr>
        <w:t xml:space="preserve"> Status: </w:t>
      </w:r>
      <w:r>
        <w:rPr>
          <w:b/>
          <w:color w:val="B8860B"/>
          <w:sz w:val="20"/>
        </w:rPr>
        <w:t>Acceptable</w:t>
      </w:r>
    </w:p>
    <w:p>
      <w:pPr>
        <w:spacing w:before="80" w:after="120"/>
        <w:jc w:val="left"/>
      </w:pPr>
      <w:r>
        <w:rPr>
          <w:b w:val="0"/>
          <w:i w:val="0"/>
          <w:sz w:val="20"/>
        </w:rPr>
        <w:t>Traced Product was within the recommended range for 41.8% of the reporting month. Polymer consumption rate averaged 50.7% and increased from 48.2% at the start of the month to 53.9% at the end of the month. Conductivity was within the recommended range for 10.1% of the reporting month. End-of-month Traced Product was 6.1% higher than the setpoint, and conductivity was also not maintained, so the product trend should be treated as conductivity-related until cycles, blowdown, makeup, or dilution behavior is corrected. Conductivity was below its setpoint configuration range for most of the same period, so water loss, dilution, or blowdown/makeup behavior should be inspected during the upcoming service visit. Because polymer consumption increased by more than 5%, phosphate residual will be checked during the upcoming service visit.</w:t>
      </w:r>
    </w:p>
    <w:p>
      <w:pPr>
        <w:spacing w:before="160" w:after="40"/>
      </w:pPr>
      <w:r>
        <w:rPr>
          <w:b/>
          <w:color w:val="212529"/>
          <w:sz w:val="22"/>
        </w:rPr>
        <w:t>Microbial Control</w:t>
      </w:r>
    </w:p>
    <w:p>
      <w:pPr>
        <w:spacing w:before="60" w:after="100"/>
        <w:shd w:val="clear" w:color="auto" w:fill="F7F7F7"/>
      </w:pPr>
      <w:r>
        <w:rPr>
          <w:b/>
          <w:color w:val="1D5C7F"/>
          <w:sz w:val="20"/>
        </w:rPr>
        <w:t xml:space="preserve"> Status: </w:t>
      </w:r>
      <w:r>
        <w:rPr>
          <w:b/>
          <w:color w:val="B8860B"/>
          <w:sz w:val="20"/>
        </w:rPr>
        <w:t>Acceptable</w:t>
      </w:r>
    </w:p>
    <w:p>
      <w:pPr>
        <w:spacing w:before="80" w:after="120"/>
        <w:jc w:val="left"/>
      </w:pPr>
      <w:r>
        <w:rPr>
          <w:b w:val="0"/>
          <w:i w:val="0"/>
          <w:sz w:val="20"/>
        </w:rPr>
        <w:t>Insufficient ORP spike was observed during oxidizing biocide application, so oxidizing biocide feed response should be reviewed during the upcoming service visit. FRC and dip-slide will be analysed in the upcoming visit to ensure good microbial control.</w:t>
      </w:r>
    </w:p>
    <w:p>
      <w:pPr>
        <w:spacing w:before="200" w:after="80"/>
      </w:pPr>
      <w:r>
        <w:rPr>
          <w:b/>
          <w:color w:val="1D5C7F"/>
          <w:sz w:val="26"/>
        </w:rPr>
        <w:t>Water Efficiency</w:t>
      </w:r>
    </w:p>
    <w:p>
      <w:pPr>
        <w:spacing w:before="60" w:after="100"/>
        <w:shd w:val="clear" w:color="auto" w:fill="F7F7F7"/>
      </w:pPr>
      <w:r>
        <w:rPr>
          <w:b/>
          <w:color w:val="1D5C7F"/>
          <w:sz w:val="20"/>
        </w:rPr>
        <w:t xml:space="preserve"> Status: </w:t>
      </w:r>
      <w:r>
        <w:rPr>
          <w:b/>
          <w:color w:val="C00000"/>
          <w:sz w:val="20"/>
        </w:rPr>
        <w:t>Critical</w:t>
      </w:r>
    </w:p>
    <w:tbl>
      <w:tblPr>
        <w:tblStyle w:val="TableGrid"/>
        <w:tblW w:type="auto" w:w="0"/>
        <w:tblLook w:firstColumn="1" w:firstRow="1" w:lastColumn="0" w:lastRow="0" w:noHBand="0" w:noVBand="1" w:val="04A0"/>
      </w:tblPr>
      <w:tblGrid>
        <w:gridCol w:w="2017"/>
        <w:gridCol w:w="2017"/>
        <w:gridCol w:w="2017"/>
        <w:gridCol w:w="2017"/>
        <w:gridCol w:w="2017"/>
      </w:tblGrid>
      <w:tr>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MU Conductivity</w:t>
            </w:r>
          </w:p>
        </w:tc>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Target COC</w:t>
            </w:r>
          </w:p>
        </w:tc>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Actual COC</w:t>
            </w:r>
          </w:p>
        </w:tc>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Deviation</w:t>
            </w:r>
          </w:p>
        </w:tc>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Status</w:t>
            </w:r>
          </w:p>
        </w:tc>
      </w:tr>
      <w:tr>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300.0 µS/cm</w:t>
            </w:r>
          </w:p>
        </w:tc>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2.0</w:t>
            </w:r>
          </w:p>
        </w:tc>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1.59</w:t>
            </w:r>
          </w:p>
        </w:tc>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20.4%</w:t>
            </w:r>
          </w:p>
        </w:tc>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Critical</w:t>
            </w:r>
          </w:p>
        </w:tc>
      </w:tr>
    </w:tbl>
    <w:p/>
    <w:tbl>
      <w:tblPr>
        <w:tblStyle w:val="TableGrid"/>
        <w:tblW w:type="auto" w:w="0"/>
        <w:tblLook w:firstColumn="1" w:firstRow="1" w:lastColumn="0" w:lastRow="0" w:noHBand="0" w:noVBand="1" w:val="04A0"/>
      </w:tblPr>
      <w:tblGrid>
        <w:gridCol w:w="1681"/>
        <w:gridCol w:w="1681"/>
        <w:gridCol w:w="1681"/>
        <w:gridCol w:w="1681"/>
        <w:gridCol w:w="1681"/>
        <w:gridCol w:w="1681"/>
      </w:tblGrid>
      <w:tr>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System</w:t>
            </w:r>
          </w:p>
        </w:tc>
        <w:tc>
          <w:tcPr>
            <w:tcW w:type="dxa" w:w="1247"/>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Current COC</w:t>
            </w:r>
          </w:p>
        </w:tc>
        <w:tc>
          <w:tcPr>
            <w:tcW w:type="dxa" w:w="1247"/>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Target COC</w:t>
            </w:r>
          </w:p>
        </w:tc>
        <w:tc>
          <w:tcPr>
            <w:tcW w:type="dxa" w:w="1247"/>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Decrease</w:t>
            </w:r>
          </w:p>
        </w:tc>
        <w:tc>
          <w:tcPr>
            <w:tcW w:type="dxa" w:w="2041"/>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Annual Water Loss</w:t>
            </w:r>
          </w:p>
        </w:tc>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Estimated Cost</w:t>
            </w:r>
          </w:p>
        </w:tc>
      </w:tr>
      <w:tr>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Candler Hospital_ACM</w:t>
            </w:r>
          </w:p>
        </w:tc>
        <w:tc>
          <w:tcPr>
            <w:tcW w:type="dxa" w:w="124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1.59</w:t>
            </w:r>
          </w:p>
        </w:tc>
        <w:tc>
          <w:tcPr>
            <w:tcW w:type="dxa" w:w="124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2.00</w:t>
            </w:r>
          </w:p>
        </w:tc>
        <w:tc>
          <w:tcPr>
            <w:tcW w:type="dxa" w:w="124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20.5%</w:t>
            </w:r>
          </w:p>
        </w:tc>
        <w:tc>
          <w:tcPr>
            <w:tcW w:type="dxa" w:w="204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2,561,298 gal/year</w:t>
            </w:r>
          </w:p>
        </w:tc>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$128,064.89/year</w:t>
            </w:r>
          </w:p>
        </w:tc>
      </w:tr>
    </w:tbl>
    <w:p/>
    <w:p>
      <w:pPr>
        <w:spacing w:before="80" w:after="120"/>
        <w:jc w:val="left"/>
      </w:pPr>
      <w:r>
        <w:rPr>
          <w:b w:val="0"/>
          <w:i w:val="0"/>
          <w:sz w:val="20"/>
        </w:rPr>
        <w:t>Because current COC is more than 3% below the value-creation Target COC, estimated avoidable makeup water is 2,561,298 gallons per annum. At a makeup water cost of $5 per 100 gallons, the estimated annual savings opportunity is $128,064.89.</w:t>
      </w:r>
    </w:p>
    <w:p>
      <w:pPr>
        <w:spacing w:before="80" w:after="120"/>
        <w:jc w:val="left"/>
      </w:pPr>
      <w:r>
        <w:rPr>
          <w:b w:val="0"/>
          <w:i w:val="0"/>
          <w:sz w:val="20"/>
        </w:rPr>
        <w:t>The average conductivity is 477.4 µS/cm, which is below the recommended setpoint range of 570-630 µS/cm. Conductivity increased from about 381.2 µS/cm at the start of the month to 573.4 µS/cm at the end. Water loss was observed from the COC gap and last-day conductivity was 542.8 µS/cm, so inspect blowdown valve operation, makeup changes, dilution sources, and possible water loss.</w:t>
      </w:r>
    </w:p>
    <w:p>
      <w:pPr>
        <w:spacing w:before="200" w:after="80"/>
      </w:pPr>
      <w:r>
        <w:rPr>
          <w:b/>
          <w:color w:val="1D5C7F"/>
          <w:sz w:val="26"/>
        </w:rPr>
        <w:t>Product Efficiency</w:t>
      </w:r>
    </w:p>
    <w:p>
      <w:pPr>
        <w:spacing w:before="60" w:after="100"/>
        <w:shd w:val="clear" w:color="auto" w:fill="F7F7F7"/>
      </w:pPr>
      <w:r>
        <w:rPr>
          <w:b/>
          <w:color w:val="1D5C7F"/>
          <w:sz w:val="20"/>
        </w:rPr>
        <w:t xml:space="preserve"> Status: </w:t>
      </w:r>
      <w:r>
        <w:rPr>
          <w:b/>
          <w:color w:val="B8860B"/>
          <w:sz w:val="20"/>
        </w:rPr>
        <w:t>Acceptable</w:t>
      </w:r>
    </w:p>
    <w:p>
      <w:pPr>
        <w:spacing w:before="80" w:after="120"/>
        <w:jc w:val="left"/>
      </w:pPr>
      <w:r>
        <w:rPr>
          <w:b w:val="0"/>
          <w:i w:val="0"/>
          <w:sz w:val="20"/>
        </w:rPr>
        <w:t>Product efficiency needs attention because Traced Product averaged 73.90 ppm against the 70.00 ppm setpoint and the 67.00-73.00 ppm control range. Because conductivity was also not maintained, product control should be reviewed together with cycles, blowdown, makeup, and dilution behavior before changing feed settings.</w:t>
      </w:r>
    </w:p>
    <w:p>
      <w:pPr>
        <w:spacing w:before="80" w:after="120"/>
        <w:jc w:val="left"/>
      </w:pPr>
      <w:r>
        <w:rPr>
          <w:b w:val="0"/>
          <w:i w:val="0"/>
          <w:sz w:val="20"/>
        </w:rPr>
        <w:t>The target consumption rate is 83.8 pounds/month whereas current consumption rate is 88.4 pounds. There is increase in consumption by 4.7 pounds, indicating overdosage.</w:t>
      </w:r>
    </w:p>
    <w:p>
      <w:pPr>
        <w:spacing w:before="200" w:after="80"/>
      </w:pPr>
      <w:r>
        <w:rPr>
          <w:b/>
          <w:color w:val="1D5C7F"/>
          <w:sz w:val="26"/>
        </w:rPr>
        <w:t>Proactive System Support</w:t>
      </w:r>
    </w:p>
    <w:p>
      <w:pPr>
        <w:spacing w:before="80" w:after="120"/>
        <w:jc w:val="left"/>
      </w:pPr>
      <w:r>
        <w:rPr>
          <w:b w:val="0"/>
          <w:i w:val="0"/>
          <w:sz w:val="20"/>
        </w:rPr>
        <w:t>Recommended follow-up: Confirm inhibitor residual, inspect for deposit activity, and compare corrosion movement with ORP and product trends. Traced Product was not maintained while conductivity was also not maintained, so treat the product issue as conductivity-related and check cycles, blowdown, makeup, and dilution behavior first. Review makeup conductivity and blowdown control because cycles of concentration are still deviating from target. Check FRC during the upcoming service visit to confirm oxidizing biocide residual. Measure dip-slide CFU during the upcoming service visit to confirm microbial control. Verify phosphate and silica residuals during the next service visit.</w:t>
      </w:r>
    </w:p>
    <w:p>
      <w:r>
        <w:br w:type="page"/>
      </w:r>
    </w:p>
    <w:p>
      <w:pPr>
        <w:spacing w:before="280" w:after="140"/>
        <w:shd w:val="clear" w:color="auto" w:fill="009878"/>
      </w:pPr>
      <w:r>
        <w:rPr>
          <w:b/>
          <w:color w:val="FFFFFF"/>
          <w:sz w:val="24"/>
        </w:rPr>
        <w:t xml:space="preserve">  Performance Summary</w:t>
      </w:r>
    </w:p>
    <w:p>
      <w:pPr>
        <w:spacing w:before="80" w:after="120"/>
        <w:jc w:val="left"/>
      </w:pPr>
      <w:r>
        <w:rPr>
          <w:b w:val="0"/>
          <w:i/>
          <w:color w:val="686868"/>
          <w:sz w:val="18"/>
        </w:rPr>
        <w:t>Controller Setpoints are used as control limits below. % In Range is calculated from the full reporting month telemetry.</w:t>
      </w:r>
    </w:p>
    <w:tbl>
      <w:tblPr>
        <w:tblStyle w:val="TableGrid"/>
        <w:tblW w:type="auto" w:w="0"/>
        <w:tblLook w:firstColumn="1" w:firstRow="1" w:lastColumn="0" w:lastRow="0" w:noHBand="0" w:noVBand="1" w:val="04A0"/>
      </w:tblPr>
      <w:tblGrid>
        <w:gridCol w:w="1441"/>
        <w:gridCol w:w="1441"/>
        <w:gridCol w:w="1441"/>
        <w:gridCol w:w="1441"/>
        <w:gridCol w:w="1441"/>
        <w:gridCol w:w="1441"/>
        <w:gridCol w:w="1441"/>
      </w:tblGrid>
      <w:tr>
        <w:tc>
          <w:tcPr>
            <w:tcW w:type="dxa" w:w="2041"/>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Parameter</w:t>
            </w:r>
          </w:p>
        </w:tc>
        <w:tc>
          <w:tcPr>
            <w:tcW w:type="dxa" w:w="1417"/>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Context Point</w:t>
            </w:r>
          </w:p>
        </w:tc>
        <w:tc>
          <w:tcPr>
            <w:tcW w:type="dxa" w:w="1020"/>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Average</w:t>
            </w:r>
          </w:p>
        </w:tc>
        <w:tc>
          <w:tcPr>
            <w:tcW w:type="dxa" w:w="1077"/>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Lower Limit</w:t>
            </w:r>
          </w:p>
        </w:tc>
        <w:tc>
          <w:tcPr>
            <w:tcW w:type="dxa" w:w="1077"/>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Upper Limit</w:t>
            </w:r>
          </w:p>
        </w:tc>
        <w:tc>
          <w:tcPr>
            <w:tcW w:type="dxa" w:w="1134"/>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 In Range</w:t>
            </w:r>
          </w:p>
        </w:tc>
        <w:tc>
          <w:tcPr>
            <w:tcW w:type="dxa" w:w="1361"/>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Status</w:t>
            </w:r>
          </w:p>
        </w:tc>
      </w:tr>
      <w:tr>
        <w:tc>
          <w:tcPr>
            <w:tcW w:type="dxa" w:w="204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Corrosion – MS (MPY)</w:t>
            </w:r>
          </w:p>
        </w:tc>
        <w:tc>
          <w:tcPr>
            <w:tcW w:type="dxa" w:w="141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0.514</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0.00</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3.00</w:t>
            </w:r>
          </w:p>
        </w:tc>
        <w:tc>
          <w:tcPr>
            <w:tcW w:type="dxa" w:w="1134"/>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w:t>
            </w:r>
          </w:p>
        </w:tc>
        <w:tc>
          <w:tcPr>
            <w:tcW w:type="dxa" w:w="136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Excellent</w:t>
            </w:r>
          </w:p>
        </w:tc>
      </w:tr>
      <w:tr>
        <w:tc>
          <w:tcPr>
            <w:tcW w:type="dxa" w:w="204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Corrosion – Cu (MPY)</w:t>
            </w:r>
          </w:p>
        </w:tc>
        <w:tc>
          <w:tcPr>
            <w:tcW w:type="dxa" w:w="141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0.114</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0.00</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0.50</w:t>
            </w:r>
          </w:p>
        </w:tc>
        <w:tc>
          <w:tcPr>
            <w:tcW w:type="dxa" w:w="1134"/>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w:t>
            </w:r>
          </w:p>
        </w:tc>
        <w:tc>
          <w:tcPr>
            <w:tcW w:type="dxa" w:w="136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Excellent</w:t>
            </w:r>
          </w:p>
        </w:tc>
      </w:tr>
      <w:tr>
        <w:tc>
          <w:tcPr>
            <w:tcW w:type="dxa" w:w="204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Traced Product (ppm)</w:t>
            </w:r>
          </w:p>
        </w:tc>
        <w:tc>
          <w:tcPr>
            <w:tcW w:type="dxa" w:w="141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73.896</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67.0</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73.0</w:t>
            </w:r>
          </w:p>
        </w:tc>
        <w:tc>
          <w:tcPr>
            <w:tcW w:type="dxa" w:w="1134"/>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41.8%</w:t>
            </w:r>
          </w:p>
        </w:tc>
        <w:tc>
          <w:tcPr>
            <w:tcW w:type="dxa" w:w="136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Acceptable</w:t>
            </w:r>
          </w:p>
        </w:tc>
      </w:tr>
      <w:tr>
        <w:tc>
          <w:tcPr>
            <w:tcW w:type="dxa" w:w="204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Conductivity (µS/cm)</w:t>
            </w:r>
          </w:p>
        </w:tc>
        <w:tc>
          <w:tcPr>
            <w:tcW w:type="dxa" w:w="141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477.351</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570</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630</w:t>
            </w:r>
          </w:p>
        </w:tc>
        <w:tc>
          <w:tcPr>
            <w:tcW w:type="dxa" w:w="1134"/>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10.1%</w:t>
            </w:r>
          </w:p>
        </w:tc>
        <w:tc>
          <w:tcPr>
            <w:tcW w:type="dxa" w:w="136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Critical</w:t>
            </w:r>
          </w:p>
        </w:tc>
      </w:tr>
      <w:tr>
        <w:tc>
          <w:tcPr>
            <w:tcW w:type="dxa" w:w="204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pH</w:t>
            </w:r>
          </w:p>
        </w:tc>
        <w:tc>
          <w:tcPr>
            <w:tcW w:type="dxa" w:w="141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8.648</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7.50</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w:t>
            </w:r>
          </w:p>
        </w:tc>
        <w:tc>
          <w:tcPr>
            <w:tcW w:type="dxa" w:w="1134"/>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w:t>
            </w:r>
          </w:p>
        </w:tc>
        <w:tc>
          <w:tcPr>
            <w:tcW w:type="dxa" w:w="136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Excellent</w:t>
            </w:r>
          </w:p>
        </w:tc>
      </w:tr>
      <w:tr>
        <w:tc>
          <w:tcPr>
            <w:tcW w:type="dxa" w:w="204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Turbidity (NTU)</w:t>
            </w:r>
          </w:p>
        </w:tc>
        <w:tc>
          <w:tcPr>
            <w:tcW w:type="dxa" w:w="141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0.044</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0.0</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75.0</w:t>
            </w:r>
          </w:p>
        </w:tc>
        <w:tc>
          <w:tcPr>
            <w:tcW w:type="dxa" w:w="1134"/>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w:t>
            </w:r>
          </w:p>
        </w:tc>
        <w:tc>
          <w:tcPr>
            <w:tcW w:type="dxa" w:w="136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Excellent</w:t>
            </w:r>
          </w:p>
        </w:tc>
      </w:tr>
      <w:tr>
        <w:tc>
          <w:tcPr>
            <w:tcW w:type="dxa" w:w="204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Cell Fouling (%)</w:t>
            </w:r>
          </w:p>
        </w:tc>
        <w:tc>
          <w:tcPr>
            <w:tcW w:type="dxa" w:w="141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0.001</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0.0</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30.0</w:t>
            </w:r>
          </w:p>
        </w:tc>
        <w:tc>
          <w:tcPr>
            <w:tcW w:type="dxa" w:w="1134"/>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w:t>
            </w:r>
          </w:p>
        </w:tc>
        <w:tc>
          <w:tcPr>
            <w:tcW w:type="dxa" w:w="136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Excellent</w:t>
            </w:r>
          </w:p>
        </w:tc>
      </w:tr>
    </w:tbl>
    <w:p/>
    <w:p>
      <w:r>
        <w:br w:type="page"/>
      </w:r>
    </w:p>
    <w:p>
      <w:pPr>
        <w:spacing w:before="280" w:after="140"/>
        <w:shd w:val="clear" w:color="auto" w:fill="009878"/>
      </w:pPr>
      <w:r>
        <w:rPr>
          <w:b/>
          <w:color w:val="FFFFFF"/>
          <w:sz w:val="24"/>
        </w:rPr>
        <w:t xml:space="preserve">  Charts and Comments</w:t>
      </w:r>
    </w:p>
    <w:p>
      <w:pPr>
        <w:spacing w:before="200" w:after="80"/>
      </w:pPr>
      <w:r>
        <w:rPr>
          <w:b/>
          <w:color w:val="1D5C7F"/>
          <w:sz w:val="26"/>
        </w:rPr>
        <w:t>Corrosion Rate</w:t>
      </w:r>
    </w:p>
    <w:p>
      <w:pPr>
        <w:jc w:val="center"/>
      </w:pPr>
      <w:r>
        <w:drawing>
          <wp:inline xmlns:a="http://schemas.openxmlformats.org/drawingml/2006/main" xmlns:pic="http://schemas.openxmlformats.org/drawingml/2006/picture">
            <wp:extent cx="5486400" cy="2582656"/>
            <wp:docPr id="1" name="Picture 1"/>
            <wp:cNvGraphicFramePr>
              <a:graphicFrameLocks noChangeAspect="1"/>
            </wp:cNvGraphicFramePr>
            <a:graphic>
              <a:graphicData uri="http://schemas.openxmlformats.org/drawingml/2006/picture">
                <pic:pic>
                  <pic:nvPicPr>
                    <pic:cNvPr id="0" name="candler_hospital_savannah_ga_us_controllers_84253fab8c75_august_2026_corrosion.png"/>
                    <pic:cNvPicPr/>
                  </pic:nvPicPr>
                  <pic:blipFill>
                    <a:blip r:embed="rId11"/>
                    <a:stretch>
                      <a:fillRect/>
                    </a:stretch>
                  </pic:blipFill>
                  <pic:spPr>
                    <a:xfrm>
                      <a:off x="0" y="0"/>
                      <a:ext cx="5486400" cy="2582656"/>
                    </a:xfrm>
                    <a:prstGeom prst="rect"/>
                  </pic:spPr>
                </pic:pic>
              </a:graphicData>
            </a:graphic>
          </wp:inline>
        </w:drawing>
      </w:r>
    </w:p>
    <w:p>
      <w:pPr>
        <w:spacing w:after="120"/>
        <w:jc w:val="center"/>
      </w:pPr>
      <w:r>
        <w:rPr>
          <w:i/>
          <w:color w:val="686868"/>
          <w:sz w:val="17"/>
        </w:rPr>
        <w:t>Figure 1: Corrosion Rate — August 2026</w:t>
      </w:r>
    </w:p>
    <w:p>
      <w:pPr>
        <w:spacing w:before="40" w:after="200"/>
      </w:pPr>
      <w:r>
        <w:rPr>
          <w:b/>
          <w:i/>
          <w:color w:val="1D5C7F"/>
          <w:sz w:val="19"/>
        </w:rPr>
        <w:t xml:space="preserve">Comment: </w:t>
      </w:r>
      <w:r>
        <w:rPr>
          <w:i/>
          <w:color w:val="333333"/>
          <w:sz w:val="19"/>
        </w:rPr>
        <w:t>During the reporting period, the system remained under good control. The mild steel and copper corrosion rates averaged 0.51 mpy and 0.11 mpy, respectively, both of which are well within the recommended limits of &lt;5 mpy and &lt;0.5 mpy.</w:t>
      </w:r>
    </w:p>
    <w:p>
      <w:pPr>
        <w:spacing w:before="200" w:after="80"/>
      </w:pPr>
      <w:r>
        <w:rPr>
          <w:b/>
          <w:color w:val="1D5C7F"/>
          <w:sz w:val="26"/>
        </w:rPr>
        <w:t>Traced Product Control Trend</w:t>
      </w:r>
    </w:p>
    <w:p>
      <w:pPr>
        <w:jc w:val="center"/>
      </w:pPr>
      <w:r>
        <w:drawing>
          <wp:inline xmlns:a="http://schemas.openxmlformats.org/drawingml/2006/main" xmlns:pic="http://schemas.openxmlformats.org/drawingml/2006/picture">
            <wp:extent cx="5486400" cy="2578283"/>
            <wp:docPr id="2" name="Picture 2"/>
            <wp:cNvGraphicFramePr>
              <a:graphicFrameLocks noChangeAspect="1"/>
            </wp:cNvGraphicFramePr>
            <a:graphic>
              <a:graphicData uri="http://schemas.openxmlformats.org/drawingml/2006/picture">
                <pic:pic>
                  <pic:nvPicPr>
                    <pic:cNvPr id="0" name="candler_hospital_savannah_ga_us_controllers_84253fab8c75_august_2026_traced_product.png"/>
                    <pic:cNvPicPr/>
                  </pic:nvPicPr>
                  <pic:blipFill>
                    <a:blip r:embed="rId12"/>
                    <a:stretch>
                      <a:fillRect/>
                    </a:stretch>
                  </pic:blipFill>
                  <pic:spPr>
                    <a:xfrm>
                      <a:off x="0" y="0"/>
                      <a:ext cx="5486400" cy="2578283"/>
                    </a:xfrm>
                    <a:prstGeom prst="rect"/>
                  </pic:spPr>
                </pic:pic>
              </a:graphicData>
            </a:graphic>
          </wp:inline>
        </w:drawing>
      </w:r>
    </w:p>
    <w:p>
      <w:pPr>
        <w:spacing w:after="120"/>
        <w:jc w:val="center"/>
      </w:pPr>
      <w:r>
        <w:rPr>
          <w:i/>
          <w:color w:val="686868"/>
          <w:sz w:val="17"/>
        </w:rPr>
        <w:t>Figure 2: Traced Product — August 2026</w:t>
      </w:r>
    </w:p>
    <w:p>
      <w:pPr>
        <w:spacing w:before="40" w:after="200"/>
      </w:pPr>
      <w:r>
        <w:rPr>
          <w:b/>
          <w:i/>
          <w:color w:val="1D5C7F"/>
          <w:sz w:val="19"/>
        </w:rPr>
        <w:t xml:space="preserve">Comment: </w:t>
      </w:r>
      <w:r>
        <w:rPr>
          <w:i/>
          <w:color w:val="333333"/>
          <w:sz w:val="19"/>
        </w:rPr>
        <w:t>Traced Product was maintained within the setpoint range of 67.0-73.0 ppm only 41.8% of the time.</w:t>
      </w:r>
      <w:r>
        <w:br/>
      </w:r>
      <w:r>
        <w:rPr>
          <w:i/>
          <w:color w:val="333333"/>
          <w:sz w:val="19"/>
        </w:rPr>
        <w:t>The trend moved from about 73.3 ppm at the start to 74.5 ppm at the end.</w:t>
      </w:r>
      <w:r>
        <w:br/>
      </w:r>
      <w:r>
        <w:rPr>
          <w:i/>
          <w:color w:val="333333"/>
          <w:sz w:val="19"/>
        </w:rPr>
        <w:t>The Traced Product increase correlates with the increase in conductivity, indicating the product trend is linked to tower concentration; the blowdown and makeup water valves will be inspected so product can be maintained in good control in future.</w:t>
      </w:r>
    </w:p>
    <w:p>
      <w:pPr>
        <w:spacing w:before="200" w:after="80"/>
      </w:pPr>
      <w:r>
        <w:rPr>
          <w:b/>
          <w:color w:val="1D5C7F"/>
          <w:sz w:val="26"/>
        </w:rPr>
        <w:t>ORP vs Copper Corrosion Rate</w:t>
      </w:r>
    </w:p>
    <w:p>
      <w:pPr>
        <w:jc w:val="center"/>
      </w:pPr>
      <w:r>
        <w:drawing>
          <wp:inline xmlns:a="http://schemas.openxmlformats.org/drawingml/2006/main" xmlns:pic="http://schemas.openxmlformats.org/drawingml/2006/picture">
            <wp:extent cx="5486400" cy="2584849"/>
            <wp:docPr id="3" name="Picture 3"/>
            <wp:cNvGraphicFramePr>
              <a:graphicFrameLocks noChangeAspect="1"/>
            </wp:cNvGraphicFramePr>
            <a:graphic>
              <a:graphicData uri="http://schemas.openxmlformats.org/drawingml/2006/picture">
                <pic:pic>
                  <pic:nvPicPr>
                    <pic:cNvPr id="0" name="candler_hospital_savannah_ga_us_controllers_84253fab8c75_august_2026_orp_corrosion.png"/>
                    <pic:cNvPicPr/>
                  </pic:nvPicPr>
                  <pic:blipFill>
                    <a:blip r:embed="rId13"/>
                    <a:stretch>
                      <a:fillRect/>
                    </a:stretch>
                  </pic:blipFill>
                  <pic:spPr>
                    <a:xfrm>
                      <a:off x="0" y="0"/>
                      <a:ext cx="5486400" cy="2584849"/>
                    </a:xfrm>
                    <a:prstGeom prst="rect"/>
                  </pic:spPr>
                </pic:pic>
              </a:graphicData>
            </a:graphic>
          </wp:inline>
        </w:drawing>
      </w:r>
    </w:p>
    <w:p>
      <w:pPr>
        <w:spacing w:after="120"/>
        <w:jc w:val="center"/>
      </w:pPr>
      <w:r>
        <w:rPr>
          <w:i/>
          <w:color w:val="686868"/>
          <w:sz w:val="17"/>
        </w:rPr>
        <w:t>Figure 3: ORP vs Copper Corrosion Rate — August 2026</w:t>
      </w:r>
    </w:p>
    <w:p>
      <w:pPr>
        <w:spacing w:before="40" w:after="200"/>
      </w:pPr>
      <w:r>
        <w:rPr>
          <w:b/>
          <w:i/>
          <w:color w:val="1D5C7F"/>
          <w:sz w:val="19"/>
        </w:rPr>
        <w:t xml:space="preserve">Comment: </w:t>
      </w:r>
      <w:r>
        <w:rPr>
          <w:i/>
          <w:color w:val="333333"/>
          <w:sz w:val="19"/>
        </w:rPr>
        <w:t>ORP did not show more than 50 mV spikes at least three times during the week from 08 August 2026 to 14 August 2026; no slug dosage of biocide is observed during this period. This could be due to lack of inventory, dosing pump lost prime, or a leak in the pump discharge line.</w:t>
      </w:r>
      <w:r>
        <w:br/>
      </w:r>
      <w:r>
        <w:rPr>
          <w:i/>
          <w:color w:val="333333"/>
          <w:sz w:val="19"/>
        </w:rPr>
        <w:t>Copper corrosion remained within the recommended limit of 0.5 mpy.</w:t>
      </w:r>
    </w:p>
    <w:p>
      <w:pPr>
        <w:spacing w:before="200" w:after="80"/>
      </w:pPr>
      <w:r>
        <w:rPr>
          <w:b/>
          <w:color w:val="1D5C7F"/>
          <w:sz w:val="26"/>
        </w:rPr>
        <w:t>Electrode Conductivity</w:t>
      </w:r>
    </w:p>
    <w:p>
      <w:pPr>
        <w:jc w:val="center"/>
      </w:pPr>
      <w:r>
        <w:drawing>
          <wp:inline xmlns:a="http://schemas.openxmlformats.org/drawingml/2006/main" xmlns:pic="http://schemas.openxmlformats.org/drawingml/2006/picture">
            <wp:extent cx="5486400" cy="2578283"/>
            <wp:docPr id="4" name="Picture 4"/>
            <wp:cNvGraphicFramePr>
              <a:graphicFrameLocks noChangeAspect="1"/>
            </wp:cNvGraphicFramePr>
            <a:graphic>
              <a:graphicData uri="http://schemas.openxmlformats.org/drawingml/2006/picture">
                <pic:pic>
                  <pic:nvPicPr>
                    <pic:cNvPr id="0" name="candler_hospital_savannah_ga_us_controllers_84253fab8c75_august_2026_conductivity.png"/>
                    <pic:cNvPicPr/>
                  </pic:nvPicPr>
                  <pic:blipFill>
                    <a:blip r:embed="rId14"/>
                    <a:stretch>
                      <a:fillRect/>
                    </a:stretch>
                  </pic:blipFill>
                  <pic:spPr>
                    <a:xfrm>
                      <a:off x="0" y="0"/>
                      <a:ext cx="5486400" cy="2578283"/>
                    </a:xfrm>
                    <a:prstGeom prst="rect"/>
                  </pic:spPr>
                </pic:pic>
              </a:graphicData>
            </a:graphic>
          </wp:inline>
        </w:drawing>
      </w:r>
    </w:p>
    <w:p>
      <w:pPr>
        <w:spacing w:after="120"/>
        <w:jc w:val="center"/>
      </w:pPr>
      <w:r>
        <w:rPr>
          <w:i/>
          <w:color w:val="686868"/>
          <w:sz w:val="17"/>
        </w:rPr>
        <w:t>Figure 4: Electrode Conductivity — August 2026</w:t>
      </w:r>
    </w:p>
    <w:p>
      <w:pPr>
        <w:spacing w:before="40" w:after="200"/>
      </w:pPr>
      <w:r>
        <w:rPr>
          <w:b/>
          <w:i/>
          <w:color w:val="1D5C7F"/>
          <w:sz w:val="19"/>
        </w:rPr>
        <w:t xml:space="preserve">Comment: </w:t>
      </w:r>
      <w:r>
        <w:rPr>
          <w:i/>
          <w:color w:val="333333"/>
          <w:sz w:val="19"/>
        </w:rPr>
        <w:t>The average conductivity is 477.4 µS/cm, which is below the recommended setpoint range of 570-630 µS/cm. Conductivity increased from about 381.2 µS/cm at the start of the month to 573.4 µS/cm at the end. Water loss was observed from the COC gap and last-day conductivity was 542.8 µS/cm, so inspect blowdown valve operation, makeup changes, dilution sources, and possible water loss.</w:t>
      </w:r>
    </w:p>
    <w:p>
      <w:r>
        <w:br w:type="page"/>
      </w:r>
    </w:p>
    <w:p>
      <w:pPr>
        <w:spacing w:before="280" w:after="140"/>
        <w:shd w:val="clear" w:color="auto" w:fill="009878"/>
      </w:pPr>
      <w:r>
        <w:rPr>
          <w:b/>
          <w:color w:val="FFFFFF"/>
          <w:sz w:val="24"/>
        </w:rPr>
        <w:t xml:space="preserve">  Closing Summary</w:t>
      </w:r>
    </w:p>
    <w:p>
      <w:pPr>
        <w:spacing w:before="80" w:after="120"/>
        <w:jc w:val="left"/>
      </w:pPr>
      <w:r>
        <w:rPr>
          <w:b w:val="0"/>
          <w:i w:val="0"/>
          <w:sz w:val="20"/>
        </w:rPr>
        <w:t>Overall August performance for Candler main showed Excellent corrosion control and Acceptable microbial control, while conductivity and Traced Product control require follow-up. The primary action is to stabilize conductivity first because the Traced Product deviation is linked with conductivity behavior. After water-side control is stabilized, product residual and polymer efficiency should be verified during the next service visit.</w:t>
      </w:r>
    </w:p>
    <w:sectPr w:rsidR="00FC693F" w:rsidRPr="0006063C" w:rsidSect="00034616">
      <w:headerReference w:type="default" r:id="rId9"/>
      <w:footerReference w:type="default" r:id="rId10"/>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86868"/>
        <w:sz w:val="16"/>
      </w:rPr>
      <w:t>Buckman Digital Water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00857C"/>
      </w:pBdr>
    </w:pPr>
    <w:r>
      <w:rPr>
        <w:color w:val="686868"/>
        <w:sz w:val="16"/>
      </w:rPr>
      <w:t>Buckman  |  Candler Hospital Savannah GA (US)  |  August 2026 Cooling Water Performance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