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686868"/>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9878"/>
          <w:sz w:val="30"/>
        </w:rPr>
        <w:t>Flowserve US Raleigh NC (US)</w:t>
      </w:r>
    </w:p>
    <w:p>
      <w:pPr>
        <w:spacing w:before="60" w:after="360"/>
        <w:jc w:val="center"/>
      </w:pPr>
      <w:r>
        <w:rPr>
          <w:b w:val="0"/>
          <w:i w:val="0"/>
          <w:color w:val="686868"/>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Customer / Site</w:t>
            </w:r>
          </w:p>
        </w:tc>
        <w:tc>
          <w:tcPr>
            <w:tcW w:type="dxa" w:w="1701"/>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System</w:t>
            </w:r>
          </w:p>
        </w:tc>
        <w:tc>
          <w:tcPr>
            <w:tcW w:type="dxa" w:w="1984"/>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Controller</w:t>
            </w:r>
          </w:p>
        </w:tc>
        <w:tc>
          <w:tcPr>
            <w:tcW w:type="dxa" w:w="2551"/>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Prepared For</w:t>
            </w:r>
          </w:p>
        </w:tc>
      </w:tr>
      <w:tr>
        <w:tc>
          <w:tcPr>
            <w:tcW w:type="dxa" w:w="3118"/>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Flowserve US Raleigh NC (US)</w:t>
            </w:r>
          </w:p>
        </w:tc>
        <w:tc>
          <w:tcPr>
            <w:tcW w:type="dxa" w:w="170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Cooling Tower</w:t>
            </w:r>
          </w:p>
        </w:tc>
        <w:tc>
          <w:tcPr>
            <w:tcW w:type="dxa" w:w="1984"/>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84253F5EE1C9</w:t>
            </w:r>
          </w:p>
        </w:tc>
        <w:tc>
          <w:tcPr>
            <w:tcW w:type="dxa" w:w="255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Monthly Performance Review</w:t>
            </w:r>
          </w:p>
        </w:tc>
      </w:tr>
    </w:tbl>
    <w:p/>
    <w:p>
      <w:pPr>
        <w:spacing w:before="200" w:after="120"/>
        <w:jc w:val="left"/>
      </w:pPr>
    </w:p>
    <w:p>
      <w:pPr>
        <w:spacing w:before="80" w:after="120"/>
        <w:jc w:val="center"/>
      </w:pPr>
      <w:r>
        <w:rPr>
          <w:b w:val="0"/>
          <w:i w:val="0"/>
          <w:color w:val="686868"/>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Prepared By</w:t>
            </w:r>
          </w:p>
        </w:tc>
        <w:tc>
          <w:tcPr>
            <w:tcW w:type="dxa" w:w="2835"/>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Prepared Date</w:t>
            </w:r>
          </w:p>
        </w:tc>
        <w:tc>
          <w:tcPr>
            <w:tcW w:type="dxa" w:w="3402"/>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Report Status</w:t>
            </w:r>
          </w:p>
        </w:tc>
      </w:tr>
      <w:tr>
        <w:tc>
          <w:tcPr>
            <w:tcW w:type="dxa" w:w="3118"/>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Buckman Digital Water</w:t>
            </w:r>
          </w:p>
        </w:tc>
        <w:tc>
          <w:tcPr>
            <w:tcW w:type="dxa" w:w="2835"/>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23 September 2026</w:t>
            </w:r>
          </w:p>
        </w:tc>
        <w:tc>
          <w:tcPr>
            <w:tcW w:type="dxa" w:w="3402"/>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Draft</w:t>
            </w:r>
          </w:p>
        </w:tc>
      </w:tr>
    </w:tbl>
    <w:p/>
    <w:p>
      <w:r>
        <w:br w:type="page"/>
      </w:r>
    </w:p>
    <w:p>
      <w:pPr>
        <w:spacing w:before="280" w:after="140"/>
        <w:shd w:val="clear" w:color="auto" w:fill="009878"/>
      </w:pPr>
      <w:r>
        <w:rPr>
          <w:b/>
          <w:color w:val="FFFFFF"/>
          <w:sz w:val="24"/>
        </w:rPr>
        <w:t xml:space="preserve">  Executive Summary</w:t>
      </w:r>
    </w:p>
    <w:p>
      <w:pPr>
        <w:spacing w:before="200" w:after="80"/>
      </w:pPr>
      <w:r>
        <w:rPr>
          <w:b/>
          <w:color w:val="1D5C7F"/>
          <w:sz w:val="26"/>
        </w:rPr>
        <w:t>System Health Check</w:t>
      </w:r>
    </w:p>
    <w:p>
      <w:pPr>
        <w:spacing w:before="160" w:after="40"/>
      </w:pPr>
      <w:r>
        <w:rPr>
          <w:b/>
          <w:color w:val="212529"/>
          <w:sz w:val="22"/>
        </w:rPr>
        <w:t>Corrosion Control</w:t>
      </w:r>
    </w:p>
    <w:p>
      <w:pPr>
        <w:spacing w:before="60" w:after="100"/>
        <w:shd w:val="clear" w:color="auto" w:fill="F7F7F7"/>
      </w:pPr>
      <w:r>
        <w:rPr>
          <w:b/>
          <w:color w:val="1D5C7F"/>
          <w:sz w:val="20"/>
        </w:rPr>
        <w:t xml:space="preserve"> Status: </w:t>
      </w:r>
      <w:r>
        <w:rPr>
          <w:b/>
          <w:color w:val="009878"/>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12529"/>
          <w:sz w:val="22"/>
        </w:rPr>
        <w:t>Scale Control</w:t>
      </w:r>
    </w:p>
    <w:p>
      <w:pPr>
        <w:spacing w:before="60" w:after="100"/>
        <w:shd w:val="clear" w:color="auto" w:fill="F7F7F7"/>
      </w:pPr>
      <w:r>
        <w:rPr>
          <w:b/>
          <w:color w:val="1D5C7F"/>
          <w:sz w:val="20"/>
        </w:rPr>
        <w:t xml:space="preserve"> Status: </w:t>
      </w:r>
      <w:r>
        <w:rPr>
          <w:b/>
          <w:color w:val="B8860B"/>
          <w:sz w:val="20"/>
        </w:rPr>
        <w:t>Acceptable</w:t>
      </w:r>
    </w:p>
    <w:p>
      <w:pPr>
        <w:spacing w:before="80" w:after="120"/>
        <w:jc w:val="left"/>
      </w:pPr>
      <w:r>
        <w:rPr>
          <w:b w:val="0"/>
          <w:i w:val="0"/>
          <w:sz w:val="20"/>
        </w:rPr>
        <w:t>Traced Product was within the recommended range for 29.9% of the reporting month. Polymer consumption rate averaged 62.5% and increased from 60.2% at the start of the month to 65.6% at the end of the month. Conductivity was within the recommended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12529"/>
          <w:sz w:val="22"/>
        </w:rPr>
        <w:t>Microbial Control</w:t>
      </w:r>
    </w:p>
    <w:p>
      <w:pPr>
        <w:spacing w:before="60" w:after="100"/>
        <w:shd w:val="clear" w:color="auto" w:fill="F7F7F7"/>
      </w:pPr>
      <w:r>
        <w:rPr>
          <w:b/>
          <w:color w:val="1D5C7F"/>
          <w:sz w:val="20"/>
        </w:rPr>
        <w:t xml:space="preserve"> 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80"/>
      </w:pPr>
      <w:r>
        <w:rPr>
          <w:b/>
          <w:color w:val="1D5C7F"/>
          <w:sz w:val="26"/>
        </w:rPr>
        <w:t>Water Efficiency</w:t>
      </w:r>
    </w:p>
    <w:p>
      <w:pPr>
        <w:spacing w:before="60" w:after="100"/>
        <w:shd w:val="clear" w:color="auto" w:fill="F7F7F7"/>
      </w:pPr>
      <w:r>
        <w:rPr>
          <w:b/>
          <w:color w:val="1D5C7F"/>
          <w:sz w:val="20"/>
        </w:rPr>
        <w:t xml:space="preserve"> Status: </w:t>
      </w:r>
      <w:r>
        <w:rPr>
          <w:b/>
          <w:color w:val="C00000"/>
          <w:sz w:val="20"/>
        </w:rPr>
        <w:t>Critical</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The average conductivity is 891.7 µS/cm, which is below the recommended setpoint range of 930-970 µS/cm. Conductivity remained broadly stable from about 889.4 µS/cm at the start of the month to 893.9 µS/cm at the end. Recommendation: dilution, water loss, excess blowdown, or makeup changes are keeping conductivity low.</w:t>
      </w:r>
    </w:p>
    <w:p>
      <w:pPr>
        <w:spacing w:before="200" w:after="80"/>
      </w:pPr>
      <w:r>
        <w:rPr>
          <w:b/>
          <w:color w:val="1D5C7F"/>
          <w:sz w:val="26"/>
        </w:rPr>
        <w:t>Product Efficiency</w:t>
      </w:r>
    </w:p>
    <w:p>
      <w:pPr>
        <w:spacing w:before="60" w:after="100"/>
        <w:shd w:val="clear" w:color="auto" w:fill="F7F7F7"/>
      </w:pPr>
      <w:r>
        <w:rPr>
          <w:b/>
          <w:color w:val="1D5C7F"/>
          <w:sz w:val="20"/>
        </w:rPr>
        <w:t xml:space="preserve"> 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80" w:after="120"/>
        <w:jc w:val="left"/>
      </w:pPr>
      <w:r>
        <w:rPr>
          <w:b w:val="0"/>
          <w:i w:val="0"/>
          <w:sz w:val="20"/>
        </w:rPr>
        <w:t>The target consumption rate is 4.6 pounds/month whereas current consumption rate is 4.9 pounds. Target and current consumption match for this reporting period.</w:t>
      </w:r>
    </w:p>
    <w:p>
      <w:pPr>
        <w:spacing w:before="200" w:after="80"/>
      </w:pPr>
      <w:r>
        <w:rPr>
          <w:b/>
          <w:color w:val="1D5C7F"/>
          <w:sz w:val="26"/>
        </w:rPr>
        <w:t>Proactive System Support</w:t>
      </w:r>
    </w:p>
    <w:p>
      <w:pPr>
        <w:spacing w:before="80" w:after="120"/>
        <w:jc w:val="left"/>
      </w:pPr>
      <w:r>
        <w:rPr>
          <w:b w:val="0"/>
          <w:i w:val="0"/>
          <w:sz w:val="20"/>
        </w:rPr>
        <w:t>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spacing w:before="280" w:after="140"/>
        <w:shd w:val="clear" w:color="auto" w:fill="009878"/>
      </w:pPr>
      <w:r>
        <w:rPr>
          <w:b/>
          <w:color w:val="FFFFFF"/>
          <w:sz w:val="24"/>
        </w:rPr>
        <w:t xml:space="preserve">  Performance Summary</w:t>
      </w:r>
    </w:p>
    <w:p>
      <w:pPr>
        <w:spacing w:before="80" w:after="120"/>
        <w:jc w:val="left"/>
      </w:pPr>
      <w:r>
        <w:rPr>
          <w:b w:val="0"/>
          <w:i/>
          <w:color w:val="686868"/>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2041"/>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Parameter</w:t>
            </w:r>
          </w:p>
        </w:tc>
        <w:tc>
          <w:tcPr>
            <w:tcW w:type="dxa" w:w="1417"/>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Context Point</w:t>
            </w:r>
          </w:p>
        </w:tc>
        <w:tc>
          <w:tcPr>
            <w:tcW w:type="dxa" w:w="1020"/>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Average</w:t>
            </w:r>
          </w:p>
        </w:tc>
        <w:tc>
          <w:tcPr>
            <w:tcW w:type="dxa" w:w="1077"/>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Lower Limit</w:t>
            </w:r>
          </w:p>
        </w:tc>
        <w:tc>
          <w:tcPr>
            <w:tcW w:type="dxa" w:w="1077"/>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Upper Limit</w:t>
            </w:r>
          </w:p>
        </w:tc>
        <w:tc>
          <w:tcPr>
            <w:tcW w:type="dxa" w:w="1134"/>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 In Range</w:t>
            </w:r>
          </w:p>
        </w:tc>
        <w:tc>
          <w:tcPr>
            <w:tcW w:type="dxa" w:w="1361"/>
            <w:vAlign w:val="center"/>
            <w:shd w:val="clear" w:color="auto" w:fill="009878"/>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b/>
                <w:color w:val="FFFFFF"/>
                <w:sz w:val="18"/>
              </w:rPr>
              <w:t>Status</w:t>
            </w:r>
          </w:p>
        </w:tc>
      </w:tr>
      <w:tr>
        <w:tc>
          <w:tcPr>
            <w:tcW w:type="dxa" w:w="204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Corrosion – MS (MPY)</w:t>
            </w:r>
          </w:p>
        </w:tc>
        <w:tc>
          <w:tcPr>
            <w:tcW w:type="dxa" w:w="141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0.612</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0.00</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3.00</w:t>
            </w:r>
          </w:p>
        </w:tc>
        <w:tc>
          <w:tcPr>
            <w:tcW w:type="dxa" w:w="1134"/>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100.0%</w:t>
            </w:r>
          </w:p>
        </w:tc>
        <w:tc>
          <w:tcPr>
            <w:tcW w:type="dxa" w:w="136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Excellent</w:t>
            </w:r>
          </w:p>
        </w:tc>
      </w:tr>
      <w:tr>
        <w:tc>
          <w:tcPr>
            <w:tcW w:type="dxa" w:w="2041"/>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Corrosion – Cu (MPY)</w:t>
            </w:r>
          </w:p>
        </w:tc>
        <w:tc>
          <w:tcPr>
            <w:tcW w:type="dxa" w:w="141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0.020</w:t>
            </w:r>
          </w:p>
        </w:tc>
        <w:tc>
          <w:tcPr>
            <w:tcW w:type="dxa" w:w="107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0.00</w:t>
            </w:r>
          </w:p>
        </w:tc>
        <w:tc>
          <w:tcPr>
            <w:tcW w:type="dxa" w:w="107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0.50</w:t>
            </w:r>
          </w:p>
        </w:tc>
        <w:tc>
          <w:tcPr>
            <w:tcW w:type="dxa" w:w="1134"/>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100.0%</w:t>
            </w:r>
          </w:p>
        </w:tc>
        <w:tc>
          <w:tcPr>
            <w:tcW w:type="dxa" w:w="1361"/>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Excellent</w:t>
            </w:r>
          </w:p>
        </w:tc>
      </w:tr>
      <w:tr>
        <w:tc>
          <w:tcPr>
            <w:tcW w:type="dxa" w:w="204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Traced Product (ppm)</w:t>
            </w:r>
          </w:p>
        </w:tc>
        <w:tc>
          <w:tcPr>
            <w:tcW w:type="dxa" w:w="141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90.262</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82.0</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88.0</w:t>
            </w:r>
          </w:p>
        </w:tc>
        <w:tc>
          <w:tcPr>
            <w:tcW w:type="dxa" w:w="1134"/>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29.9%</w:t>
            </w:r>
          </w:p>
        </w:tc>
        <w:tc>
          <w:tcPr>
            <w:tcW w:type="dxa" w:w="136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Acceptable</w:t>
            </w:r>
          </w:p>
        </w:tc>
      </w:tr>
      <w:tr>
        <w:tc>
          <w:tcPr>
            <w:tcW w:type="dxa" w:w="2041"/>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Conductivity (µS/cm)</w:t>
            </w:r>
          </w:p>
        </w:tc>
        <w:tc>
          <w:tcPr>
            <w:tcW w:type="dxa" w:w="141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891.668</w:t>
            </w:r>
          </w:p>
        </w:tc>
        <w:tc>
          <w:tcPr>
            <w:tcW w:type="dxa" w:w="107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930</w:t>
            </w:r>
          </w:p>
        </w:tc>
        <w:tc>
          <w:tcPr>
            <w:tcW w:type="dxa" w:w="107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970</w:t>
            </w:r>
          </w:p>
        </w:tc>
        <w:tc>
          <w:tcPr>
            <w:tcW w:type="dxa" w:w="1134"/>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13.2%</w:t>
            </w:r>
          </w:p>
        </w:tc>
        <w:tc>
          <w:tcPr>
            <w:tcW w:type="dxa" w:w="1361"/>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Critical</w:t>
            </w:r>
          </w:p>
        </w:tc>
      </w:tr>
      <w:tr>
        <w:tc>
          <w:tcPr>
            <w:tcW w:type="dxa" w:w="204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pH</w:t>
            </w:r>
          </w:p>
        </w:tc>
        <w:tc>
          <w:tcPr>
            <w:tcW w:type="dxa" w:w="141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8.835</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7.50</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10.00</w:t>
            </w:r>
          </w:p>
        </w:tc>
        <w:tc>
          <w:tcPr>
            <w:tcW w:type="dxa" w:w="1134"/>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100.0%</w:t>
            </w:r>
          </w:p>
        </w:tc>
        <w:tc>
          <w:tcPr>
            <w:tcW w:type="dxa" w:w="136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Excellent</w:t>
            </w:r>
          </w:p>
        </w:tc>
      </w:tr>
      <w:tr>
        <w:tc>
          <w:tcPr>
            <w:tcW w:type="dxa" w:w="2041"/>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Turbidity (NTU)</w:t>
            </w:r>
          </w:p>
        </w:tc>
        <w:tc>
          <w:tcPr>
            <w:tcW w:type="dxa" w:w="141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5.754</w:t>
            </w:r>
          </w:p>
        </w:tc>
        <w:tc>
          <w:tcPr>
            <w:tcW w:type="dxa" w:w="107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0.0</w:t>
            </w:r>
          </w:p>
        </w:tc>
        <w:tc>
          <w:tcPr>
            <w:tcW w:type="dxa" w:w="1077"/>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75.0</w:t>
            </w:r>
          </w:p>
        </w:tc>
        <w:tc>
          <w:tcPr>
            <w:tcW w:type="dxa" w:w="1134"/>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100.0%</w:t>
            </w:r>
          </w:p>
        </w:tc>
        <w:tc>
          <w:tcPr>
            <w:tcW w:type="dxa" w:w="1361"/>
            <w:vAlign w:val="center"/>
            <w:shd w:val="clear" w:color="auto" w:fill="F7F7F7"/>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Excellent</w:t>
            </w:r>
          </w:p>
        </w:tc>
      </w:tr>
      <w:tr>
        <w:tc>
          <w:tcPr>
            <w:tcW w:type="dxa" w:w="204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Cell Fouling (%)</w:t>
            </w:r>
          </w:p>
        </w:tc>
        <w:tc>
          <w:tcPr>
            <w:tcW w:type="dxa" w:w="141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ACM Skid</w:t>
            </w:r>
          </w:p>
        </w:tc>
        <w:tc>
          <w:tcPr>
            <w:tcW w:type="dxa" w:w="1020"/>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20.467</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0.0</w:t>
            </w:r>
          </w:p>
        </w:tc>
        <w:tc>
          <w:tcPr>
            <w:tcW w:type="dxa" w:w="1077"/>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30.0</w:t>
            </w:r>
          </w:p>
        </w:tc>
        <w:tc>
          <w:tcPr>
            <w:tcW w:type="dxa" w:w="1134"/>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100.0%</w:t>
            </w:r>
          </w:p>
        </w:tc>
        <w:tc>
          <w:tcPr>
            <w:tcW w:type="dxa" w:w="1361"/>
            <w:vAlign w:val="center"/>
            <w:shd w:val="clear" w:color="auto" w:fill="FFFFFF"/>
            <w:tcBorders>
              <w:top w:val="single" w:sz="4" w:space="0" w:color="D0D0D0"/>
              <w:left w:val="single" w:sz="4" w:space="0" w:color="D0D0D0"/>
              <w:bottom w:val="single" w:sz="4" w:space="0" w:color="D0D0D0"/>
              <w:right w:val="single" w:sz="4" w:space="0" w:color="D0D0D0"/>
            </w:tcBorders>
            <w:tcMar>
              <w:top w:w="90" w:type="dxa"/>
              <w:start w:w="120" w:type="dxa"/>
              <w:bottom w:w="90" w:type="dxa"/>
              <w:end w:w="120" w:type="dxa"/>
            </w:tcMar>
          </w:tcPr>
          <w:p>
            <w:pPr>
              <w:spacing w:before="60" w:after="60"/>
            </w:pPr>
            <w:r>
              <w:rPr>
                <w:sz w:val="18"/>
              </w:rPr>
              <w:t>✓ Excellent</w:t>
            </w:r>
          </w:p>
        </w:tc>
      </w:tr>
    </w:tbl>
    <w:p/>
    <w:p>
      <w:r>
        <w:br w:type="page"/>
      </w:r>
    </w:p>
    <w:p>
      <w:pPr>
        <w:spacing w:before="280" w:after="140"/>
        <w:shd w:val="clear" w:color="auto" w:fill="009878"/>
      </w:pPr>
      <w:r>
        <w:rPr>
          <w:b/>
          <w:color w:val="FFFFFF"/>
          <w:sz w:val="24"/>
        </w:rPr>
        <w:t xml:space="preserve">  Charts and Comments</w:t>
      </w:r>
    </w:p>
    <w:p>
      <w:pPr>
        <w:spacing w:before="200" w:after="80"/>
      </w:pPr>
      <w:r>
        <w:rPr>
          <w:b/>
          <w:color w:val="1D5C7F"/>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686868"/>
          <w:sz w:val="17"/>
        </w:rPr>
        <w:t>Figure 1: Corrosion Rate — August 2026</w:t>
      </w:r>
    </w:p>
    <w:p>
      <w:pPr>
        <w:spacing w:before="40" w:after="200"/>
      </w:pPr>
      <w:r>
        <w:rPr>
          <w:b/>
          <w:i/>
          <w:color w:val="1D5C7F"/>
          <w:sz w:val="19"/>
        </w:rPr>
        <w:t xml:space="preserve">Comment: </w:t>
      </w:r>
      <w:r>
        <w:rPr>
          <w:i/>
          <w:color w:val="333333"/>
          <w:sz w:val="19"/>
        </w:rPr>
        <w:t>During the reporting period, the system remained under good control. The mild steel and copper corrosion rates averaged 0.61 mpy and 0.02 mpy, respectively, both of which are well within the recommended limits of &lt;5 mpy and &lt;0.5 mpy.</w:t>
      </w:r>
    </w:p>
    <w:p>
      <w:pPr>
        <w:spacing w:before="200" w:after="80"/>
      </w:pPr>
      <w:r>
        <w:rPr>
          <w:b/>
          <w:color w:val="1D5C7F"/>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686868"/>
          <w:sz w:val="17"/>
        </w:rPr>
        <w:t>Figure 2: Traced Product — August 2026</w:t>
      </w:r>
    </w:p>
    <w:p>
      <w:pPr>
        <w:spacing w:before="40" w:after="200"/>
      </w:pPr>
      <w:r>
        <w:rPr>
          <w:b/>
          <w:i/>
          <w:color w:val="1D5C7F"/>
          <w:sz w:val="19"/>
        </w:rPr>
        <w:t xml:space="preserve">Comment: </w:t>
      </w:r>
      <w:r>
        <w:rPr>
          <w:i/>
          <w:color w:val="333333"/>
          <w:sz w:val="19"/>
        </w:rPr>
        <w:t>Traced Product was maintained within the setpoint range of 82.0-88.0 ppm only 29.9% of the time.</w:t>
      </w:r>
      <w:r>
        <w:br/>
      </w:r>
      <w:r>
        <w:rPr>
          <w:i/>
          <w:color w:val="333333"/>
          <w:sz w:val="19"/>
        </w:rPr>
        <w:t>The trend moved from about 89.6 ppm at the start to 90.9 ppm at the end.</w:t>
      </w:r>
      <w:r>
        <w:br/>
      </w:r>
      <w:r>
        <w:rPr>
          <w:i/>
          <w:color w:val="333333"/>
          <w:sz w:val="19"/>
        </w:rPr>
        <w:t>Likely reason: conductivity was not maintained, so the Traced Product variation should be tied to conductivity control before assigning another cause.</w:t>
      </w:r>
    </w:p>
    <w:p>
      <w:pPr>
        <w:spacing w:before="200" w:after="80"/>
      </w:pPr>
      <w:r>
        <w:rPr>
          <w:b/>
          <w:color w:val="1D5C7F"/>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686868"/>
          <w:sz w:val="17"/>
        </w:rPr>
        <w:t>Figure 3: ORP vs Copper Corrosion Rate — August 2026</w:t>
      </w:r>
    </w:p>
    <w:p>
      <w:pPr>
        <w:spacing w:before="40" w:after="200"/>
      </w:pPr>
      <w:r>
        <w:rPr>
          <w:b/>
          <w:i/>
          <w:color w:val="1D5C7F"/>
          <w:sz w:val="19"/>
        </w:rPr>
        <w:t xml:space="preserve">Comment: </w:t>
      </w:r>
      <w:r>
        <w:rPr>
          <w:i/>
          <w:color w:val="333333"/>
          <w:sz w:val="19"/>
        </w:rPr>
        <w:t>ORP did not show more than 50 mV spikes at least three times during the week from 01 August 2026 to 07 August 2026; no slug dosage of biocide is observed during this period. This could be due to lack of inventory, dosing pump lost prime, or a leak in the pump discharge line.</w:t>
      </w:r>
      <w:r>
        <w:br/>
      </w:r>
      <w:r>
        <w:rPr>
          <w:i/>
          <w:color w:val="333333"/>
          <w:sz w:val="19"/>
        </w:rPr>
        <w:t>Copper corrosion remained within the recommended limit of 0.5 mpy.</w:t>
      </w:r>
    </w:p>
    <w:p>
      <w:pPr>
        <w:spacing w:before="200" w:after="80"/>
      </w:pPr>
      <w:r>
        <w:rPr>
          <w:b/>
          <w:color w:val="1D5C7F"/>
          <w:sz w:val="26"/>
        </w:rPr>
        <w:t>Electrode Conductivity</w:t>
      </w:r>
    </w:p>
    <w:p>
      <w:pPr>
        <w:jc w:val="center"/>
      </w:pPr>
      <w:r>
        <w:drawing>
          <wp:inline xmlns:a="http://schemas.openxmlformats.org/drawingml/2006/main" xmlns:pic="http://schemas.openxmlformats.org/drawingml/2006/picture">
            <wp:extent cx="5486400" cy="2578283"/>
            <wp:docPr id="4" name="Picture 4"/>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4"/>
                    <a:stretch>
                      <a:fillRect/>
                    </a:stretch>
                  </pic:blipFill>
                  <pic:spPr>
                    <a:xfrm>
                      <a:off x="0" y="0"/>
                      <a:ext cx="5486400" cy="2578283"/>
                    </a:xfrm>
                    <a:prstGeom prst="rect"/>
                  </pic:spPr>
                </pic:pic>
              </a:graphicData>
            </a:graphic>
          </wp:inline>
        </w:drawing>
      </w:r>
    </w:p>
    <w:p>
      <w:pPr>
        <w:spacing w:after="120"/>
        <w:jc w:val="center"/>
      </w:pPr>
      <w:r>
        <w:rPr>
          <w:i/>
          <w:color w:val="686868"/>
          <w:sz w:val="17"/>
        </w:rPr>
        <w:t>Figure 4: Electrode Conductivity — August 2026</w:t>
      </w:r>
    </w:p>
    <w:p>
      <w:pPr>
        <w:spacing w:before="40" w:after="200"/>
      </w:pPr>
      <w:r>
        <w:rPr>
          <w:b/>
          <w:i/>
          <w:color w:val="1D5C7F"/>
          <w:sz w:val="19"/>
        </w:rPr>
        <w:t xml:space="preserve">Comment: </w:t>
      </w:r>
      <w:r>
        <w:rPr>
          <w:i/>
          <w:color w:val="333333"/>
          <w:sz w:val="19"/>
        </w:rPr>
        <w:t>The average conductivity is 891.7 µS/cm, which is below the recommended setpoint range of 930-970 µS/cm. Conductivity remained broadly stable from about 889.4 µS/cm at the start of the month to 893.9 µS/cm at the end. Recommendation: dilution, water loss, excess blowdown, or makeup changes are keeping conductivity low.</w:t>
      </w:r>
    </w:p>
    <w:p>
      <w:r>
        <w:br w:type="page"/>
      </w:r>
    </w:p>
    <w:p>
      <w:pPr>
        <w:spacing w:before="280" w:after="140"/>
        <w:shd w:val="clear" w:color="auto" w:fill="009878"/>
      </w:pPr>
      <w:r>
        <w:rPr>
          <w:b/>
          <w:color w:val="FFFFFF"/>
          <w:sz w:val="24"/>
        </w:rPr>
        <w:t xml:space="preserve">  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86868"/>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686868"/>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