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Flowserve US Raleigh NC (US)</w:t>
      </w:r>
    </w:p>
    <w:p>
      <w:pPr>
        <w:spacing w:before="60" w:after="360"/>
        <w:jc w:val="center"/>
      </w:pPr>
      <w:r>
        <w:rPr>
          <w:b w:val="0"/>
          <w:i w:val="0"/>
          <w:color w:val="444444"/>
          <w:sz w:val="20"/>
        </w:rPr>
        <w:t>Reporting Month: July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Flowserve US Raleigh NC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84253F5EE1C9</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Flowserve US Raleigh NC (US), July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05 August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Good</w:t>
      </w:r>
    </w:p>
    <w:p>
      <w:pPr>
        <w:spacing w:before="80" w:after="120"/>
        <w:jc w:val="left"/>
      </w:pPr>
      <w:r>
        <w:rPr>
          <w:b w:val="0"/>
          <w:i w:val="0"/>
          <w:sz w:val="20"/>
        </w:rPr>
        <w:t>The average mild steel corrosion rate was 1.10 MPY against the target of within 3.0 MPY, and the average copper corrosion rate was 0.0250 MPY against the target of within 0.5 MPY. Both corrosion indicators were maintained within the required control targets for the July reporting period, supporting good asset preservation for the cooling water system.</w:t>
      </w:r>
    </w:p>
    <w:p>
      <w:pPr>
        <w:spacing w:before="160" w:after="40"/>
      </w:pPr>
      <w:r>
        <w:rPr>
          <w:b/>
          <w:color w:val="222222"/>
          <w:sz w:val="22"/>
        </w:rPr>
        <w:t>Scale Control</w:t>
      </w:r>
    </w:p>
    <w:p>
      <w:pPr>
        <w:spacing w:before="60" w:after="100"/>
      </w:pPr>
      <w:r>
        <w:rPr>
          <w:b/>
          <w:sz w:val="20"/>
        </w:rPr>
        <w:t xml:space="preserve">Status: </w:t>
      </w:r>
      <w:r>
        <w:rPr>
          <w:b/>
          <w:color w:val="B8860B"/>
          <w:sz w:val="20"/>
        </w:rPr>
        <w:t>Stable</w:t>
      </w:r>
    </w:p>
    <w:p>
      <w:pPr>
        <w:spacing w:before="80" w:after="120"/>
        <w:jc w:val="left"/>
      </w:pPr>
      <w:r>
        <w:rPr>
          <w:b w:val="0"/>
          <w:i w:val="0"/>
          <w:sz w:val="20"/>
        </w:rPr>
        <w:t>Traced Product averaged 91.9 ppm against the SCC target range of 82.0-88.0 ppm, with 41.3% of July readings maintained within range. Observation: Traced Product was above the programmed control band for much of the month, indicating scale control needs attention even though part of the month was within range. Conductivity was below its SCC range for most of the same period, which points to water balance or dilution conditions as a likely contributor rather than a simple overfeed condition alone. Recommendation: verify fluorometer calibration, review product feed settings, check pump rate, and inspect water balance and blowdown/makeup behavior during the upcoming service visit.</w:t>
      </w:r>
    </w:p>
    <w:p>
      <w:pPr>
        <w:spacing w:before="160" w:after="40"/>
      </w:pPr>
      <w:r>
        <w:rPr>
          <w:b/>
          <w:color w:val="222222"/>
          <w:sz w:val="22"/>
        </w:rPr>
        <w:t>Microbial Control</w:t>
      </w:r>
    </w:p>
    <w:p>
      <w:pPr>
        <w:spacing w:before="60" w:after="100"/>
      </w:pPr>
      <w:r>
        <w:rPr>
          <w:b/>
          <w:sz w:val="20"/>
        </w:rPr>
        <w:t xml:space="preserve">Status: </w:t>
      </w:r>
      <w:r>
        <w:rPr>
          <w:b/>
          <w:color w:val="B8860B"/>
          <w:sz w:val="20"/>
        </w:rPr>
        <w:t>Stable</w:t>
      </w:r>
    </w:p>
    <w:p>
      <w:pPr>
        <w:spacing w:before="80" w:after="120"/>
        <w:jc w:val="left"/>
      </w:pPr>
      <w:r>
        <w:rPr>
          <w:b w:val="0"/>
          <w:i w:val="0"/>
          <w:sz w:val="20"/>
        </w:rPr>
        <w:t>FRC data was not available in the MDE data for this reporting period and will be checked during the upcoming service visit. ORP spike response after biocide feed was consistent, indicating the system responded to treatment; microbial control should continue to be reviewed once field FRC confirmation is available.</w:t>
      </w:r>
    </w:p>
    <w:p>
      <w:pPr>
        <w:spacing w:before="200" w:after="60"/>
      </w:pPr>
      <w:r>
        <w:rPr>
          <w:b/>
          <w:color w:val="005F58"/>
          <w:sz w:val="26"/>
        </w:rPr>
        <w:t>Water Efficiency</w:t>
      </w:r>
    </w:p>
    <w:p>
      <w:pPr>
        <w:spacing w:before="80" w:after="120"/>
        <w:jc w:val="left"/>
      </w:pPr>
      <w:r>
        <w:rPr>
          <w:b w:val="0"/>
          <w:i w:val="0"/>
          <w:sz w:val="20"/>
        </w:rPr>
        <w:t>Makeup water conductivity is not available for this site. Actual cycles of concentration cannot be calculated. Makeup conductivity should be captured at the next service visit.</w:t>
      </w:r>
    </w:p>
    <w:p>
      <w:pPr>
        <w:spacing w:before="80" w:after="120"/>
        <w:jc w:val="left"/>
      </w:pPr>
      <w:r>
        <w:rPr>
          <w:b w:val="0"/>
          <w:i w:val="0"/>
          <w:sz w:val="20"/>
        </w:rPr>
        <w:t>Conductivity averaged 890.6 uS/cm against the SCC range of 930-970 uS/cm, with 20.2% of July readings maintained within range. Makeup conductivity was not available, so current COC and target COC could not be calculated; this will be reviewed when makeup conductivity data is available. Because conductivity was below the control range for much of the period, possible water loss, makeup/blowdown behavior, or dilution should be inspected during the upcoming service visit.</w:t>
      </w:r>
    </w:p>
    <w:p>
      <w:pPr>
        <w:spacing w:before="200" w:after="60"/>
      </w:pPr>
      <w:r>
        <w:rPr>
          <w:b/>
          <w:color w:val="005F58"/>
          <w:sz w:val="26"/>
        </w:rPr>
        <w:t>Product Efficiency</w:t>
      </w:r>
    </w:p>
    <w:p>
      <w:pPr>
        <w:spacing w:before="80" w:after="120"/>
        <w:jc w:val="left"/>
      </w:pPr>
      <w:r>
        <w:rPr>
          <w:b w:val="0"/>
          <w:i w:val="0"/>
          <w:sz w:val="20"/>
        </w:rPr>
        <w:t>Traced Product was 41.3% within the SCC control range, and actual product consumption data was not available for direct comparison with target consumption. Product efficiency should be reviewed by checking calibration, feed settings, and pump operation, then comparing actual consumption once usage data is available.</w:t>
      </w:r>
    </w:p>
    <w:p>
      <w:pPr>
        <w:spacing w:before="200" w:after="60"/>
      </w:pPr>
      <w:r>
        <w:rPr>
          <w:b/>
          <w:color w:val="005F58"/>
          <w:sz w:val="26"/>
        </w:rPr>
        <w:t>Proactive System Support</w:t>
      </w:r>
    </w:p>
    <w:p>
      <w:pPr>
        <w:spacing w:before="80" w:after="120"/>
        <w:jc w:val="left"/>
      </w:pPr>
      <w:r>
        <w:rPr>
          <w:b w:val="0"/>
          <w:i w:val="0"/>
          <w:sz w:val="20"/>
        </w:rPr>
        <w:t>No service notes were recorded for this reporting period. The main proactive follow-up items are to verify Traced Product feed and fluorometer calibration, review conductivity control and water balance, and collect FRC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1.102</w:t>
            </w:r>
          </w:p>
        </w:tc>
        <w:tc>
          <w:tcPr>
            <w:tcW w:type="dxa" w:w="850"/>
            <w:shd w:val="clear" w:color="auto" w:fill="FFFFFF"/>
          </w:tcPr>
          <w:p>
            <w:pPr>
              <w:spacing w:before="60" w:after="60"/>
            </w:pPr>
            <w:r>
              <w:rPr>
                <w:sz w:val="18"/>
              </w:rPr>
              <w:t>0.688</w:t>
            </w:r>
          </w:p>
        </w:tc>
        <w:tc>
          <w:tcPr>
            <w:tcW w:type="dxa" w:w="794"/>
            <w:shd w:val="clear" w:color="auto" w:fill="FFFFFF"/>
          </w:tcPr>
          <w:p>
            <w:pPr>
              <w:spacing w:before="60" w:after="60"/>
            </w:pPr>
            <w:r>
              <w:rPr>
                <w:sz w:val="18"/>
              </w:rPr>
              <w:t>0.247</w:t>
            </w:r>
          </w:p>
        </w:tc>
        <w:tc>
          <w:tcPr>
            <w:tcW w:type="dxa" w:w="794"/>
            <w:shd w:val="clear" w:color="auto" w:fill="FFFFFF"/>
          </w:tcPr>
          <w:p>
            <w:pPr>
              <w:spacing w:before="60" w:after="60"/>
            </w:pPr>
            <w:r>
              <w:rPr>
                <w:sz w:val="18"/>
              </w:rPr>
              <w:t>2.818</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Good</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0.025</w:t>
            </w:r>
          </w:p>
        </w:tc>
        <w:tc>
          <w:tcPr>
            <w:tcW w:type="dxa" w:w="850"/>
            <w:shd w:val="clear" w:color="auto" w:fill="F2F8F7"/>
          </w:tcPr>
          <w:p>
            <w:pPr>
              <w:spacing w:before="60" w:after="60"/>
            </w:pPr>
            <w:r>
              <w:rPr>
                <w:sz w:val="18"/>
              </w:rPr>
              <w:t>0.143</w:t>
            </w:r>
          </w:p>
        </w:tc>
        <w:tc>
          <w:tcPr>
            <w:tcW w:type="dxa" w:w="794"/>
            <w:shd w:val="clear" w:color="auto" w:fill="F2F8F7"/>
          </w:tcPr>
          <w:p>
            <w:pPr>
              <w:spacing w:before="60" w:after="60"/>
            </w:pPr>
            <w:r>
              <w:rPr>
                <w:sz w:val="18"/>
              </w:rPr>
              <w:t>0.010</w:t>
            </w:r>
          </w:p>
        </w:tc>
        <w:tc>
          <w:tcPr>
            <w:tcW w:type="dxa" w:w="794"/>
            <w:shd w:val="clear" w:color="auto" w:fill="F2F8F7"/>
          </w:tcPr>
          <w:p>
            <w:pPr>
              <w:spacing w:before="60" w:after="60"/>
            </w:pPr>
            <w:r>
              <w:rPr>
                <w:sz w:val="18"/>
              </w:rPr>
              <w:t>3.308</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99.8%</w:t>
            </w:r>
          </w:p>
        </w:tc>
        <w:tc>
          <w:tcPr>
            <w:tcW w:type="dxa" w:w="1247"/>
            <w:shd w:val="clear" w:color="auto" w:fill="F2F8F7"/>
          </w:tcPr>
          <w:p>
            <w:pPr>
              <w:spacing w:before="60" w:after="60"/>
            </w:pPr>
            <w:r>
              <w:rPr>
                <w:sz w:val="18"/>
              </w:rPr>
              <w:t>✓ Good</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91.921</w:t>
            </w:r>
          </w:p>
        </w:tc>
        <w:tc>
          <w:tcPr>
            <w:tcW w:type="dxa" w:w="850"/>
            <w:shd w:val="clear" w:color="auto" w:fill="FFFFFF"/>
          </w:tcPr>
          <w:p>
            <w:pPr>
              <w:spacing w:before="60" w:after="60"/>
            </w:pPr>
            <w:r>
              <w:rPr>
                <w:sz w:val="18"/>
              </w:rPr>
              <w:t>10.177</w:t>
            </w:r>
          </w:p>
        </w:tc>
        <w:tc>
          <w:tcPr>
            <w:tcW w:type="dxa" w:w="794"/>
            <w:shd w:val="clear" w:color="auto" w:fill="FFFFFF"/>
          </w:tcPr>
          <w:p>
            <w:pPr>
              <w:spacing w:before="60" w:after="60"/>
            </w:pPr>
            <w:r>
              <w:rPr>
                <w:sz w:val="18"/>
              </w:rPr>
              <w:t>78.792</w:t>
            </w:r>
          </w:p>
        </w:tc>
        <w:tc>
          <w:tcPr>
            <w:tcW w:type="dxa" w:w="794"/>
            <w:shd w:val="clear" w:color="auto" w:fill="FFFFFF"/>
          </w:tcPr>
          <w:p>
            <w:pPr>
              <w:spacing w:before="60" w:after="60"/>
            </w:pPr>
            <w:r>
              <w:rPr>
                <w:sz w:val="18"/>
              </w:rPr>
              <w:t>274.838</w:t>
            </w:r>
          </w:p>
        </w:tc>
        <w:tc>
          <w:tcPr>
            <w:tcW w:type="dxa" w:w="964"/>
            <w:shd w:val="clear" w:color="auto" w:fill="FFFFFF"/>
          </w:tcPr>
          <w:p>
            <w:pPr>
              <w:spacing w:before="60" w:after="60"/>
            </w:pPr>
            <w:r>
              <w:rPr>
                <w:sz w:val="18"/>
              </w:rPr>
              <w:t>82.0</w:t>
            </w:r>
          </w:p>
        </w:tc>
        <w:tc>
          <w:tcPr>
            <w:tcW w:type="dxa" w:w="964"/>
            <w:shd w:val="clear" w:color="auto" w:fill="FFFFFF"/>
          </w:tcPr>
          <w:p>
            <w:pPr>
              <w:spacing w:before="60" w:after="60"/>
            </w:pPr>
            <w:r>
              <w:rPr>
                <w:sz w:val="18"/>
              </w:rPr>
              <w:t>88.0</w:t>
            </w:r>
          </w:p>
        </w:tc>
        <w:tc>
          <w:tcPr>
            <w:tcW w:type="dxa" w:w="1020"/>
            <w:shd w:val="clear" w:color="auto" w:fill="FFFFFF"/>
          </w:tcPr>
          <w:p>
            <w:pPr>
              <w:spacing w:before="60" w:after="60"/>
            </w:pPr>
            <w:r>
              <w:rPr>
                <w:sz w:val="18"/>
              </w:rPr>
              <w:t>41.3%</w:t>
            </w:r>
          </w:p>
        </w:tc>
        <w:tc>
          <w:tcPr>
            <w:tcW w:type="dxa" w:w="1247"/>
            <w:shd w:val="clear" w:color="auto" w:fill="FFFFFF"/>
          </w:tcPr>
          <w:p>
            <w:pPr>
              <w:spacing w:before="60" w:after="60"/>
            </w:pPr>
            <w:r>
              <w:rPr>
                <w:sz w:val="18"/>
              </w:rPr>
              <w:t>⚠ Stable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890.606</w:t>
            </w:r>
          </w:p>
        </w:tc>
        <w:tc>
          <w:tcPr>
            <w:tcW w:type="dxa" w:w="850"/>
            <w:shd w:val="clear" w:color="auto" w:fill="F2F8F7"/>
          </w:tcPr>
          <w:p>
            <w:pPr>
              <w:spacing w:before="60" w:after="60"/>
            </w:pPr>
            <w:r>
              <w:rPr>
                <w:sz w:val="18"/>
              </w:rPr>
              <w:t>44.201</w:t>
            </w:r>
          </w:p>
        </w:tc>
        <w:tc>
          <w:tcPr>
            <w:tcW w:type="dxa" w:w="794"/>
            <w:shd w:val="clear" w:color="auto" w:fill="F2F8F7"/>
          </w:tcPr>
          <w:p>
            <w:pPr>
              <w:spacing w:before="60" w:after="60"/>
            </w:pPr>
            <w:r>
              <w:rPr>
                <w:sz w:val="18"/>
              </w:rPr>
              <w:t>453.220</w:t>
            </w:r>
          </w:p>
        </w:tc>
        <w:tc>
          <w:tcPr>
            <w:tcW w:type="dxa" w:w="794"/>
            <w:shd w:val="clear" w:color="auto" w:fill="F2F8F7"/>
          </w:tcPr>
          <w:p>
            <w:pPr>
              <w:spacing w:before="60" w:after="60"/>
            </w:pPr>
            <w:r>
              <w:rPr>
                <w:sz w:val="18"/>
              </w:rPr>
              <w:t>988.564</w:t>
            </w:r>
          </w:p>
        </w:tc>
        <w:tc>
          <w:tcPr>
            <w:tcW w:type="dxa" w:w="964"/>
            <w:shd w:val="clear" w:color="auto" w:fill="F2F8F7"/>
          </w:tcPr>
          <w:p>
            <w:pPr>
              <w:spacing w:before="60" w:after="60"/>
            </w:pPr>
            <w:r>
              <w:rPr>
                <w:sz w:val="18"/>
              </w:rPr>
              <w:t>930</w:t>
            </w:r>
          </w:p>
        </w:tc>
        <w:tc>
          <w:tcPr>
            <w:tcW w:type="dxa" w:w="964"/>
            <w:shd w:val="clear" w:color="auto" w:fill="F2F8F7"/>
          </w:tcPr>
          <w:p>
            <w:pPr>
              <w:spacing w:before="60" w:after="60"/>
            </w:pPr>
            <w:r>
              <w:rPr>
                <w:sz w:val="18"/>
              </w:rPr>
              <w:t>970</w:t>
            </w:r>
          </w:p>
        </w:tc>
        <w:tc>
          <w:tcPr>
            <w:tcW w:type="dxa" w:w="1020"/>
            <w:shd w:val="clear" w:color="auto" w:fill="F2F8F7"/>
          </w:tcPr>
          <w:p>
            <w:pPr>
              <w:spacing w:before="60" w:after="60"/>
            </w:pPr>
            <w:r>
              <w:rPr>
                <w:sz w:val="18"/>
              </w:rPr>
              <w:t>20.2%</w:t>
            </w:r>
          </w:p>
        </w:tc>
        <w:tc>
          <w:tcPr>
            <w:tcW w:type="dxa" w:w="1247"/>
            <w:shd w:val="clear" w:color="auto" w:fill="F2F8F7"/>
          </w:tcPr>
          <w:p>
            <w:pPr>
              <w:spacing w:before="60" w:after="60"/>
            </w:pPr>
            <w:r>
              <w:rPr>
                <w:sz w:val="18"/>
              </w:rPr>
              <w:t>⚠ Action Required</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8.455</w:t>
            </w:r>
          </w:p>
        </w:tc>
        <w:tc>
          <w:tcPr>
            <w:tcW w:type="dxa" w:w="850"/>
            <w:shd w:val="clear" w:color="auto" w:fill="FFFFFF"/>
          </w:tcPr>
          <w:p>
            <w:pPr>
              <w:spacing w:before="60" w:after="60"/>
            </w:pPr>
            <w:r>
              <w:rPr>
                <w:sz w:val="18"/>
              </w:rPr>
              <w:t>0.256</w:t>
            </w:r>
          </w:p>
        </w:tc>
        <w:tc>
          <w:tcPr>
            <w:tcW w:type="dxa" w:w="794"/>
            <w:shd w:val="clear" w:color="auto" w:fill="FFFFFF"/>
          </w:tcPr>
          <w:p>
            <w:pPr>
              <w:spacing w:before="60" w:after="60"/>
            </w:pPr>
            <w:r>
              <w:rPr>
                <w:sz w:val="18"/>
              </w:rPr>
              <w:t>7.458</w:t>
            </w:r>
          </w:p>
        </w:tc>
        <w:tc>
          <w:tcPr>
            <w:tcW w:type="dxa" w:w="794"/>
            <w:shd w:val="clear" w:color="auto" w:fill="FFFFFF"/>
          </w:tcPr>
          <w:p>
            <w:pPr>
              <w:spacing w:before="60" w:after="60"/>
            </w:pPr>
            <w:r>
              <w:rPr>
                <w:sz w:val="18"/>
              </w:rPr>
              <w:t>8.914</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549.451</w:t>
            </w:r>
          </w:p>
        </w:tc>
        <w:tc>
          <w:tcPr>
            <w:tcW w:type="dxa" w:w="850"/>
            <w:shd w:val="clear" w:color="auto" w:fill="F2F8F7"/>
          </w:tcPr>
          <w:p>
            <w:pPr>
              <w:spacing w:before="60" w:after="60"/>
            </w:pPr>
            <w:r>
              <w:rPr>
                <w:sz w:val="18"/>
              </w:rPr>
              <w:t>152.851</w:t>
            </w:r>
          </w:p>
        </w:tc>
        <w:tc>
          <w:tcPr>
            <w:tcW w:type="dxa" w:w="794"/>
            <w:shd w:val="clear" w:color="auto" w:fill="F2F8F7"/>
          </w:tcPr>
          <w:p>
            <w:pPr>
              <w:spacing w:before="60" w:after="60"/>
            </w:pPr>
            <w:r>
              <w:rPr>
                <w:sz w:val="18"/>
              </w:rPr>
              <w:t>78.917</w:t>
            </w:r>
          </w:p>
        </w:tc>
        <w:tc>
          <w:tcPr>
            <w:tcW w:type="dxa" w:w="794"/>
            <w:shd w:val="clear" w:color="auto" w:fill="F2F8F7"/>
          </w:tcPr>
          <w:p>
            <w:pPr>
              <w:spacing w:before="60" w:after="60"/>
            </w:pPr>
            <w:r>
              <w:rPr>
                <w:sz w:val="18"/>
              </w:rPr>
              <w:t>819.747</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3.160</w:t>
            </w:r>
          </w:p>
        </w:tc>
        <w:tc>
          <w:tcPr>
            <w:tcW w:type="dxa" w:w="850"/>
            <w:shd w:val="clear" w:color="auto" w:fill="FFFFFF"/>
          </w:tcPr>
          <w:p>
            <w:pPr>
              <w:spacing w:before="60" w:after="60"/>
            </w:pPr>
            <w:r>
              <w:rPr>
                <w:sz w:val="18"/>
              </w:rPr>
              <w:t>1.191</w:t>
            </w:r>
          </w:p>
        </w:tc>
        <w:tc>
          <w:tcPr>
            <w:tcW w:type="dxa" w:w="794"/>
            <w:shd w:val="clear" w:color="auto" w:fill="FFFFFF"/>
          </w:tcPr>
          <w:p>
            <w:pPr>
              <w:spacing w:before="60" w:after="60"/>
            </w:pPr>
            <w:r>
              <w:rPr>
                <w:sz w:val="18"/>
              </w:rPr>
              <w:t>1.643</w:t>
            </w:r>
          </w:p>
        </w:tc>
        <w:tc>
          <w:tcPr>
            <w:tcW w:type="dxa" w:w="794"/>
            <w:shd w:val="clear" w:color="auto" w:fill="FFFFFF"/>
          </w:tcPr>
          <w:p>
            <w:pPr>
              <w:spacing w:before="60" w:after="60"/>
            </w:pPr>
            <w:r>
              <w:rPr>
                <w:sz w:val="18"/>
              </w:rPr>
              <w:t>38.197</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15.129</w:t>
            </w:r>
          </w:p>
        </w:tc>
        <w:tc>
          <w:tcPr>
            <w:tcW w:type="dxa" w:w="850"/>
            <w:shd w:val="clear" w:color="auto" w:fill="F2F8F7"/>
          </w:tcPr>
          <w:p>
            <w:pPr>
              <w:spacing w:before="60" w:after="60"/>
            </w:pPr>
            <w:r>
              <w:rPr>
                <w:sz w:val="18"/>
              </w:rPr>
              <w:t>3.677</w:t>
            </w:r>
          </w:p>
        </w:tc>
        <w:tc>
          <w:tcPr>
            <w:tcW w:type="dxa" w:w="794"/>
            <w:shd w:val="clear" w:color="auto" w:fill="F2F8F7"/>
          </w:tcPr>
          <w:p>
            <w:pPr>
              <w:spacing w:before="60" w:after="60"/>
            </w:pPr>
            <w:r>
              <w:rPr>
                <w:sz w:val="18"/>
              </w:rPr>
              <w:t>10.370</w:t>
            </w:r>
          </w:p>
        </w:tc>
        <w:tc>
          <w:tcPr>
            <w:tcW w:type="dxa" w:w="794"/>
            <w:shd w:val="clear" w:color="auto" w:fill="F2F8F7"/>
          </w:tcPr>
          <w:p>
            <w:pPr>
              <w:spacing w:before="60" w:after="60"/>
            </w:pPr>
            <w:r>
              <w:rPr>
                <w:sz w:val="18"/>
              </w:rPr>
              <w:t>23.008</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r>
        <w:tc>
          <w:tcPr>
            <w:tcW w:type="dxa" w:w="1814"/>
            <w:shd w:val="clear" w:color="auto" w:fill="FFFFFF"/>
          </w:tcPr>
          <w:p>
            <w:pPr>
              <w:spacing w:before="60" w:after="60"/>
            </w:pPr>
            <w:r>
              <w:rPr>
                <w:sz w:val="18"/>
              </w:rPr>
              <w:t>FRC</w:t>
            </w:r>
          </w:p>
        </w:tc>
        <w:tc>
          <w:tcPr>
            <w:tcW w:type="dxa" w:w="1247"/>
            <w:shd w:val="clear" w:color="auto" w:fill="FFFFFF"/>
          </w:tcPr>
          <w:p>
            <w:pPr>
              <w:spacing w:before="60" w:after="60"/>
            </w:pPr>
            <w:r>
              <w:rPr>
                <w:sz w:val="18"/>
              </w:rPr>
              <w:t>Field Data</w:t>
            </w:r>
          </w:p>
        </w:tc>
        <w:tc>
          <w:tcPr>
            <w:tcW w:type="dxa" w:w="850"/>
            <w:shd w:val="clear" w:color="auto" w:fill="FFFFFF"/>
          </w:tcPr>
          <w:p>
            <w:pPr>
              <w:spacing w:before="60" w:after="60"/>
            </w:pPr>
            <w:r>
              <w:rPr>
                <w:sz w:val="18"/>
              </w:rPr>
              <w:t>Not avail.</w:t>
            </w:r>
          </w:p>
        </w:tc>
        <w:tc>
          <w:tcPr>
            <w:tcW w:type="dxa" w:w="850"/>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Check</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68696"/>
            <wp:docPr id="1" name="Picture 1"/>
            <wp:cNvGraphicFramePr>
              <a:graphicFrameLocks noChangeAspect="1"/>
            </wp:cNvGraphicFramePr>
            <a:graphic>
              <a:graphicData uri="http://schemas.openxmlformats.org/drawingml/2006/picture">
                <pic:pic>
                  <pic:nvPicPr>
                    <pic:cNvPr id="0" name="flowserve_us_raleigh_nc_us_july_2026_corrosion.png"/>
                    <pic:cNvPicPr/>
                  </pic:nvPicPr>
                  <pic:blipFill>
                    <a:blip r:embed="rId11"/>
                    <a:stretch>
                      <a:fillRect/>
                    </a:stretch>
                  </pic:blipFill>
                  <pic:spPr>
                    <a:xfrm>
                      <a:off x="0" y="0"/>
                      <a:ext cx="5486400" cy="2568696"/>
                    </a:xfrm>
                    <a:prstGeom prst="rect"/>
                  </pic:spPr>
                </pic:pic>
              </a:graphicData>
            </a:graphic>
          </wp:inline>
        </w:drawing>
      </w:r>
    </w:p>
    <w:p>
      <w:pPr>
        <w:spacing w:after="120"/>
        <w:jc w:val="center"/>
      </w:pPr>
      <w:r>
        <w:rPr>
          <w:i/>
          <w:color w:val="444444"/>
          <w:sz w:val="17"/>
        </w:rPr>
        <w:t>Figure 1: Corrosion Rate — July 2026</w:t>
      </w:r>
    </w:p>
    <w:p>
      <w:pPr>
        <w:spacing w:before="40" w:after="200"/>
      </w:pPr>
      <w:r>
        <w:rPr>
          <w:i/>
          <w:color w:val="333333"/>
          <w:sz w:val="19"/>
        </w:rPr>
        <w:t>Comment: The corrosion trend remained controlled overall, with recent mild steel and copper readings staying comfortably within the required limits.</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68696"/>
            <wp:docPr id="2" name="Picture 2"/>
            <wp:cNvGraphicFramePr>
              <a:graphicFrameLocks noChangeAspect="1"/>
            </wp:cNvGraphicFramePr>
            <a:graphic>
              <a:graphicData uri="http://schemas.openxmlformats.org/drawingml/2006/picture">
                <pic:pic>
                  <pic:nvPicPr>
                    <pic:cNvPr id="0" name="flowserve_us_raleigh_nc_us_july_2026_traced_product.png"/>
                    <pic:cNvPicPr/>
                  </pic:nvPicPr>
                  <pic:blipFill>
                    <a:blip r:embed="rId12"/>
                    <a:stretch>
                      <a:fillRect/>
                    </a:stretch>
                  </pic:blipFill>
                  <pic:spPr>
                    <a:xfrm>
                      <a:off x="0" y="0"/>
                      <a:ext cx="5486400" cy="2568696"/>
                    </a:xfrm>
                    <a:prstGeom prst="rect"/>
                  </pic:spPr>
                </pic:pic>
              </a:graphicData>
            </a:graphic>
          </wp:inline>
        </w:drawing>
      </w:r>
    </w:p>
    <w:p>
      <w:pPr>
        <w:spacing w:after="120"/>
        <w:jc w:val="center"/>
      </w:pPr>
      <w:r>
        <w:rPr>
          <w:i/>
          <w:color w:val="444444"/>
          <w:sz w:val="17"/>
        </w:rPr>
        <w:t>Figure 2: Traced Product — July 2026</w:t>
      </w:r>
    </w:p>
    <w:p>
      <w:pPr>
        <w:spacing w:before="40" w:after="200"/>
      </w:pPr>
      <w:r>
        <w:rPr>
          <w:i/>
          <w:color w:val="333333"/>
          <w:sz w:val="19"/>
        </w:rPr>
        <w:t>Comment: The Traced Product trend spent part of July within range but remained above the SCC control band often enough to require continued review.</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70877"/>
            <wp:docPr id="3" name="Picture 3"/>
            <wp:cNvGraphicFramePr>
              <a:graphicFrameLocks noChangeAspect="1"/>
            </wp:cNvGraphicFramePr>
            <a:graphic>
              <a:graphicData uri="http://schemas.openxmlformats.org/drawingml/2006/picture">
                <pic:pic>
                  <pic:nvPicPr>
                    <pic:cNvPr id="0" name="flowserve_us_raleigh_nc_us_july_2026_orp_corrosion.png"/>
                    <pic:cNvPicPr/>
                  </pic:nvPicPr>
                  <pic:blipFill>
                    <a:blip r:embed="rId13"/>
                    <a:stretch>
                      <a:fillRect/>
                    </a:stretch>
                  </pic:blipFill>
                  <pic:spPr>
                    <a:xfrm>
                      <a:off x="0" y="0"/>
                      <a:ext cx="5486400" cy="2570877"/>
                    </a:xfrm>
                    <a:prstGeom prst="rect"/>
                  </pic:spPr>
                </pic:pic>
              </a:graphicData>
            </a:graphic>
          </wp:inline>
        </w:drawing>
      </w:r>
    </w:p>
    <w:p>
      <w:pPr>
        <w:spacing w:after="120"/>
        <w:jc w:val="center"/>
      </w:pPr>
      <w:r>
        <w:rPr>
          <w:i/>
          <w:color w:val="444444"/>
          <w:sz w:val="17"/>
        </w:rPr>
        <w:t>Figure 3: ORP vs Copper Corrosion Rate — July 2026</w:t>
      </w:r>
    </w:p>
    <w:p>
      <w:pPr>
        <w:spacing w:before="40" w:after="200"/>
      </w:pPr>
      <w:r>
        <w:rPr>
          <w:i/>
          <w:color w:val="333333"/>
          <w:sz w:val="19"/>
        </w:rPr>
        <w:t>Comment: The ORP response showed treatment activity without requiring absolute ORP values to be reported in the narrative.</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68696"/>
            <wp:docPr id="4" name="Picture 4"/>
            <wp:cNvGraphicFramePr>
              <a:graphicFrameLocks noChangeAspect="1"/>
            </wp:cNvGraphicFramePr>
            <a:graphic>
              <a:graphicData uri="http://schemas.openxmlformats.org/drawingml/2006/picture">
                <pic:pic>
                  <pic:nvPicPr>
                    <pic:cNvPr id="0" name="flowserve_us_raleigh_nc_us_july_2026_biocide_corrosion.png"/>
                    <pic:cNvPicPr/>
                  </pic:nvPicPr>
                  <pic:blipFill>
                    <a:blip r:embed="rId14"/>
                    <a:stretch>
                      <a:fillRect/>
                    </a:stretch>
                  </pic:blipFill>
                  <pic:spPr>
                    <a:xfrm>
                      <a:off x="0" y="0"/>
                      <a:ext cx="5486400" cy="2568696"/>
                    </a:xfrm>
                    <a:prstGeom prst="rect"/>
                  </pic:spPr>
                </pic:pic>
              </a:graphicData>
            </a:graphic>
          </wp:inline>
        </w:drawing>
      </w:r>
    </w:p>
    <w:p>
      <w:pPr>
        <w:spacing w:after="120"/>
        <w:jc w:val="center"/>
      </w:pPr>
      <w:r>
        <w:rPr>
          <w:i/>
          <w:color w:val="444444"/>
          <w:sz w:val="17"/>
        </w:rPr>
        <w:t>Figure 4: Oxidizing Biocide Pump Relay vs Copper Corrosion — July 2026</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66519"/>
            <wp:docPr id="5" name="Picture 5"/>
            <wp:cNvGraphicFramePr>
              <a:graphicFrameLocks noChangeAspect="1"/>
            </wp:cNvGraphicFramePr>
            <a:graphic>
              <a:graphicData uri="http://schemas.openxmlformats.org/drawingml/2006/picture">
                <pic:pic>
                  <pic:nvPicPr>
                    <pic:cNvPr id="0" name="flowserve_us_raleigh_nc_us_july_2026_conductivity.png"/>
                    <pic:cNvPicPr/>
                  </pic:nvPicPr>
                  <pic:blipFill>
                    <a:blip r:embed="rId15"/>
                    <a:stretch>
                      <a:fillRect/>
                    </a:stretch>
                  </pic:blipFill>
                  <pic:spPr>
                    <a:xfrm>
                      <a:off x="0" y="0"/>
                      <a:ext cx="5486400" cy="2566519"/>
                    </a:xfrm>
                    <a:prstGeom prst="rect"/>
                  </pic:spPr>
                </pic:pic>
              </a:graphicData>
            </a:graphic>
          </wp:inline>
        </w:drawing>
      </w:r>
    </w:p>
    <w:p>
      <w:pPr>
        <w:spacing w:after="120"/>
        <w:jc w:val="center"/>
      </w:pPr>
      <w:r>
        <w:rPr>
          <w:i/>
          <w:color w:val="444444"/>
          <w:sz w:val="17"/>
        </w:rPr>
        <w:t>Figure 5: Electrode Conductivity — July 2026</w:t>
      </w:r>
    </w:p>
    <w:p>
      <w:pPr>
        <w:spacing w:before="40" w:after="200"/>
      </w:pPr>
      <w:r>
        <w:rPr>
          <w:i/>
          <w:color w:val="333333"/>
          <w:sz w:val="19"/>
        </w:rPr>
        <w:t>Comment: The conductivity trend was below the SCC range for much of the recent period but moved closer to the control band near the end of the month.</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Flowserve US Raleigh NC maintained good corrosion control during July 2026, while scale control and product efficiency should continue to be reviewed because Traced Product was above the SCC range for part of the month. Conductivity control requires attention due to low in-range performance, and FRC should be measured during the upcoming service visit to confirm microbial control.</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Flowserve US Raleigh NC (US)  |  July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