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July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July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06 August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1.10 MPY against the target of within 3.0 MPY, and the average copper corrosion rate was 0.0250 MPY against the target of within 0.5 MPY. Both corrosion indicators were maintained within the required control targets for the July reporting period, supporting excellent asset preservation for the cooling water system.</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averaged 91.9 ppm against the SCC target range of 82.0-88.0 ppm, with 41.3% of July readings maintained within range. Observation: Traced Product was above the programmed control band for much of the month, indicating scale control needs attention even though part of the month was within range. Conductivity was below its SCC range for most of the same period, which points to water balance or dilution conditions as a likely contributor rather than a simple overfeed condition alone. Recommendation: verify fluorometer calibration, review product feed settings, check pump rate, and inspect water balance and blowdown/makeup behavior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MDE data for this reporting period and will be checked during the upcoming service visit. ORP spike response after biocide feed was consistent, indicating the system responded to treatment; microbial control should continue to be reviewed once field FRC confirmation is available.</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Conductivity averaged 890.6 uS/cm against the SCC range of 930-970 uS/cm, with 20.2% of July readings maintained within range. Makeup conductivity was not available, so current COC and target COC could not be calculated; this will be reviewed when makeup conductivity data is available. Because conductivity was below the control range for much of the period, possible water loss, makeup/blowdown behavior, or dilution should be inspected during the upcoming service visit.</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41.3% within the SCC control range, and actual product consumption data was not available for direct comparison with target consumption. Product efficiency should be reviewed by checking calibration, feed settings, and pump operation, then comparing actual consumption once usage data is available.</w:t>
      </w:r>
    </w:p>
    <w:p>
      <w:pPr>
        <w:spacing w:before="200" w:after="60"/>
      </w:pPr>
      <w:r>
        <w:rPr>
          <w:b/>
          <w:color w:val="005F58"/>
          <w:sz w:val="26"/>
        </w:rPr>
        <w:t>Proactive System Support</w:t>
      </w:r>
    </w:p>
    <w:p>
      <w:pPr>
        <w:spacing w:before="80" w:after="120"/>
        <w:jc w:val="left"/>
      </w:pPr>
      <w:r>
        <w:rPr>
          <w:b w:val="0"/>
          <w:i w:val="0"/>
          <w:sz w:val="20"/>
        </w:rPr>
        <w:t>No service notes were recorded for this reporting period. The main proactive follow-up items are to verify Traced Product feed and fluorometer calibration, review conductivity control and water balance, and collect FRC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1.102</w:t>
            </w:r>
          </w:p>
        </w:tc>
        <w:tc>
          <w:tcPr>
            <w:tcW w:type="dxa" w:w="850"/>
            <w:shd w:val="clear" w:color="auto" w:fill="FFFFFF"/>
          </w:tcPr>
          <w:p>
            <w:pPr>
              <w:spacing w:before="60" w:after="60"/>
            </w:pPr>
            <w:r>
              <w:rPr>
                <w:sz w:val="18"/>
              </w:rPr>
              <w:t>0.688</w:t>
            </w:r>
          </w:p>
        </w:tc>
        <w:tc>
          <w:tcPr>
            <w:tcW w:type="dxa" w:w="794"/>
            <w:shd w:val="clear" w:color="auto" w:fill="FFFFFF"/>
          </w:tcPr>
          <w:p>
            <w:pPr>
              <w:spacing w:before="60" w:after="60"/>
            </w:pPr>
            <w:r>
              <w:rPr>
                <w:sz w:val="18"/>
              </w:rPr>
              <w:t>0.247</w:t>
            </w:r>
          </w:p>
        </w:tc>
        <w:tc>
          <w:tcPr>
            <w:tcW w:type="dxa" w:w="794"/>
            <w:shd w:val="clear" w:color="auto" w:fill="FFFFFF"/>
          </w:tcPr>
          <w:p>
            <w:pPr>
              <w:spacing w:before="60" w:after="60"/>
            </w:pPr>
            <w:r>
              <w:rPr>
                <w:sz w:val="18"/>
              </w:rPr>
              <w:t>2.818</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0.025</w:t>
            </w:r>
          </w:p>
        </w:tc>
        <w:tc>
          <w:tcPr>
            <w:tcW w:type="dxa" w:w="850"/>
            <w:shd w:val="clear" w:color="auto" w:fill="F2F8F7"/>
          </w:tcPr>
          <w:p>
            <w:pPr>
              <w:spacing w:before="60" w:after="60"/>
            </w:pPr>
            <w:r>
              <w:rPr>
                <w:sz w:val="18"/>
              </w:rPr>
              <w:t>0.143</w:t>
            </w:r>
          </w:p>
        </w:tc>
        <w:tc>
          <w:tcPr>
            <w:tcW w:type="dxa" w:w="794"/>
            <w:shd w:val="clear" w:color="auto" w:fill="F2F8F7"/>
          </w:tcPr>
          <w:p>
            <w:pPr>
              <w:spacing w:before="60" w:after="60"/>
            </w:pPr>
            <w:r>
              <w:rPr>
                <w:sz w:val="18"/>
              </w:rPr>
              <w:t>0.010</w:t>
            </w:r>
          </w:p>
        </w:tc>
        <w:tc>
          <w:tcPr>
            <w:tcW w:type="dxa" w:w="794"/>
            <w:shd w:val="clear" w:color="auto" w:fill="F2F8F7"/>
          </w:tcPr>
          <w:p>
            <w:pPr>
              <w:spacing w:before="60" w:after="60"/>
            </w:pPr>
            <w:r>
              <w:rPr>
                <w:sz w:val="18"/>
              </w:rPr>
              <w:t>3.308</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99.8%</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91.921</w:t>
            </w:r>
          </w:p>
        </w:tc>
        <w:tc>
          <w:tcPr>
            <w:tcW w:type="dxa" w:w="850"/>
            <w:shd w:val="clear" w:color="auto" w:fill="FFFFFF"/>
          </w:tcPr>
          <w:p>
            <w:pPr>
              <w:spacing w:before="60" w:after="60"/>
            </w:pPr>
            <w:r>
              <w:rPr>
                <w:sz w:val="18"/>
              </w:rPr>
              <w:t>10.177</w:t>
            </w:r>
          </w:p>
        </w:tc>
        <w:tc>
          <w:tcPr>
            <w:tcW w:type="dxa" w:w="794"/>
            <w:shd w:val="clear" w:color="auto" w:fill="FFFFFF"/>
          </w:tcPr>
          <w:p>
            <w:pPr>
              <w:spacing w:before="60" w:after="60"/>
            </w:pPr>
            <w:r>
              <w:rPr>
                <w:sz w:val="18"/>
              </w:rPr>
              <w:t>78.792</w:t>
            </w:r>
          </w:p>
        </w:tc>
        <w:tc>
          <w:tcPr>
            <w:tcW w:type="dxa" w:w="794"/>
            <w:shd w:val="clear" w:color="auto" w:fill="FFFFFF"/>
          </w:tcPr>
          <w:p>
            <w:pPr>
              <w:spacing w:before="60" w:after="60"/>
            </w:pPr>
            <w:r>
              <w:rPr>
                <w:sz w:val="18"/>
              </w:rPr>
              <w:t>274.838</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41.3%</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890.606</w:t>
            </w:r>
          </w:p>
        </w:tc>
        <w:tc>
          <w:tcPr>
            <w:tcW w:type="dxa" w:w="850"/>
            <w:shd w:val="clear" w:color="auto" w:fill="F2F8F7"/>
          </w:tcPr>
          <w:p>
            <w:pPr>
              <w:spacing w:before="60" w:after="60"/>
            </w:pPr>
            <w:r>
              <w:rPr>
                <w:sz w:val="18"/>
              </w:rPr>
              <w:t>44.201</w:t>
            </w:r>
          </w:p>
        </w:tc>
        <w:tc>
          <w:tcPr>
            <w:tcW w:type="dxa" w:w="794"/>
            <w:shd w:val="clear" w:color="auto" w:fill="F2F8F7"/>
          </w:tcPr>
          <w:p>
            <w:pPr>
              <w:spacing w:before="60" w:after="60"/>
            </w:pPr>
            <w:r>
              <w:rPr>
                <w:sz w:val="18"/>
              </w:rPr>
              <w:t>453.220</w:t>
            </w:r>
          </w:p>
        </w:tc>
        <w:tc>
          <w:tcPr>
            <w:tcW w:type="dxa" w:w="794"/>
            <w:shd w:val="clear" w:color="auto" w:fill="F2F8F7"/>
          </w:tcPr>
          <w:p>
            <w:pPr>
              <w:spacing w:before="60" w:after="60"/>
            </w:pPr>
            <w:r>
              <w:rPr>
                <w:sz w:val="18"/>
              </w:rPr>
              <w:t>988.564</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20.2%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8.455</w:t>
            </w:r>
          </w:p>
        </w:tc>
        <w:tc>
          <w:tcPr>
            <w:tcW w:type="dxa" w:w="850"/>
            <w:shd w:val="clear" w:color="auto" w:fill="FFFFFF"/>
          </w:tcPr>
          <w:p>
            <w:pPr>
              <w:spacing w:before="60" w:after="60"/>
            </w:pPr>
            <w:r>
              <w:rPr>
                <w:sz w:val="18"/>
              </w:rPr>
              <w:t>0.256</w:t>
            </w:r>
          </w:p>
        </w:tc>
        <w:tc>
          <w:tcPr>
            <w:tcW w:type="dxa" w:w="794"/>
            <w:shd w:val="clear" w:color="auto" w:fill="FFFFFF"/>
          </w:tcPr>
          <w:p>
            <w:pPr>
              <w:spacing w:before="60" w:after="60"/>
            </w:pPr>
            <w:r>
              <w:rPr>
                <w:sz w:val="18"/>
              </w:rPr>
              <w:t>7.458</w:t>
            </w:r>
          </w:p>
        </w:tc>
        <w:tc>
          <w:tcPr>
            <w:tcW w:type="dxa" w:w="794"/>
            <w:shd w:val="clear" w:color="auto" w:fill="FFFFFF"/>
          </w:tcPr>
          <w:p>
            <w:pPr>
              <w:spacing w:before="60" w:after="60"/>
            </w:pPr>
            <w:r>
              <w:rPr>
                <w:sz w:val="18"/>
              </w:rPr>
              <w:t>8.914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549.451</w:t>
            </w:r>
          </w:p>
        </w:tc>
        <w:tc>
          <w:tcPr>
            <w:tcW w:type="dxa" w:w="850"/>
            <w:shd w:val="clear" w:color="auto" w:fill="F2F8F7"/>
          </w:tcPr>
          <w:p>
            <w:pPr>
              <w:spacing w:before="60" w:after="60"/>
            </w:pPr>
            <w:r>
              <w:rPr>
                <w:sz w:val="18"/>
              </w:rPr>
              <w:t>152.851</w:t>
            </w:r>
          </w:p>
        </w:tc>
        <w:tc>
          <w:tcPr>
            <w:tcW w:type="dxa" w:w="794"/>
            <w:shd w:val="clear" w:color="auto" w:fill="F2F8F7"/>
          </w:tcPr>
          <w:p>
            <w:pPr>
              <w:spacing w:before="60" w:after="60"/>
            </w:pPr>
            <w:r>
              <w:rPr>
                <w:sz w:val="18"/>
              </w:rPr>
              <w:t>78.917</w:t>
            </w:r>
          </w:p>
        </w:tc>
        <w:tc>
          <w:tcPr>
            <w:tcW w:type="dxa" w:w="794"/>
            <w:shd w:val="clear" w:color="auto" w:fill="F2F8F7"/>
          </w:tcPr>
          <w:p>
            <w:pPr>
              <w:spacing w:before="60" w:after="60"/>
            </w:pPr>
            <w:r>
              <w:rPr>
                <w:sz w:val="18"/>
              </w:rPr>
              <w:t>819.747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3.160</w:t>
            </w:r>
          </w:p>
        </w:tc>
        <w:tc>
          <w:tcPr>
            <w:tcW w:type="dxa" w:w="850"/>
            <w:shd w:val="clear" w:color="auto" w:fill="FFFFFF"/>
          </w:tcPr>
          <w:p>
            <w:pPr>
              <w:spacing w:before="60" w:after="60"/>
            </w:pPr>
            <w:r>
              <w:rPr>
                <w:sz w:val="18"/>
              </w:rPr>
              <w:t>1.191</w:t>
            </w:r>
          </w:p>
        </w:tc>
        <w:tc>
          <w:tcPr>
            <w:tcW w:type="dxa" w:w="794"/>
            <w:shd w:val="clear" w:color="auto" w:fill="FFFFFF"/>
          </w:tcPr>
          <w:p>
            <w:pPr>
              <w:spacing w:before="60" w:after="60"/>
            </w:pPr>
            <w:r>
              <w:rPr>
                <w:sz w:val="18"/>
              </w:rPr>
              <w:t>1.643</w:t>
            </w:r>
          </w:p>
        </w:tc>
        <w:tc>
          <w:tcPr>
            <w:tcW w:type="dxa" w:w="794"/>
            <w:shd w:val="clear" w:color="auto" w:fill="FFFFFF"/>
          </w:tcPr>
          <w:p>
            <w:pPr>
              <w:spacing w:before="60" w:after="60"/>
            </w:pPr>
            <w:r>
              <w:rPr>
                <w:sz w:val="18"/>
              </w:rPr>
              <w:t>38.197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15.129</w:t>
            </w:r>
          </w:p>
        </w:tc>
        <w:tc>
          <w:tcPr>
            <w:tcW w:type="dxa" w:w="850"/>
            <w:shd w:val="clear" w:color="auto" w:fill="F2F8F7"/>
          </w:tcPr>
          <w:p>
            <w:pPr>
              <w:spacing w:before="60" w:after="60"/>
            </w:pPr>
            <w:r>
              <w:rPr>
                <w:sz w:val="18"/>
              </w:rPr>
              <w:t>3.677</w:t>
            </w:r>
          </w:p>
        </w:tc>
        <w:tc>
          <w:tcPr>
            <w:tcW w:type="dxa" w:w="794"/>
            <w:shd w:val="clear" w:color="auto" w:fill="F2F8F7"/>
          </w:tcPr>
          <w:p>
            <w:pPr>
              <w:spacing w:before="60" w:after="60"/>
            </w:pPr>
            <w:r>
              <w:rPr>
                <w:sz w:val="18"/>
              </w:rPr>
              <w:t>10.370</w:t>
            </w:r>
          </w:p>
        </w:tc>
        <w:tc>
          <w:tcPr>
            <w:tcW w:type="dxa" w:w="794"/>
            <w:shd w:val="clear" w:color="auto" w:fill="F2F8F7"/>
          </w:tcPr>
          <w:p>
            <w:pPr>
              <w:spacing w:before="60" w:after="60"/>
            </w:pPr>
            <w:r>
              <w:rPr>
                <w:sz w:val="18"/>
              </w:rPr>
              <w:t>23.008</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68696"/>
            <wp:docPr id="1" name="Picture 1"/>
            <wp:cNvGraphicFramePr>
              <a:graphicFrameLocks noChangeAspect="1"/>
            </wp:cNvGraphicFramePr>
            <a:graphic>
              <a:graphicData uri="http://schemas.openxmlformats.org/drawingml/2006/picture">
                <pic:pic>
                  <pic:nvPicPr>
                    <pic:cNvPr id="0" name="flowserve_us_raleigh_nc_us_july_2026_corrosion.png"/>
                    <pic:cNvPicPr/>
                  </pic:nvPicPr>
                  <pic:blipFill>
                    <a:blip r:embed="rId11"/>
                    <a:stretch>
                      <a:fillRect/>
                    </a:stretch>
                  </pic:blipFill>
                  <pic:spPr>
                    <a:xfrm>
                      <a:off x="0" y="0"/>
                      <a:ext cx="5486400" cy="2568696"/>
                    </a:xfrm>
                    <a:prstGeom prst="rect"/>
                  </pic:spPr>
                </pic:pic>
              </a:graphicData>
            </a:graphic>
          </wp:inline>
        </w:drawing>
      </w:r>
    </w:p>
    <w:p>
      <w:pPr>
        <w:spacing w:after="120"/>
        <w:jc w:val="center"/>
      </w:pPr>
      <w:r>
        <w:rPr>
          <w:i/>
          <w:color w:val="444444"/>
          <w:sz w:val="17"/>
        </w:rPr>
        <w:t>Figure 1: Corrosion Rate — July 2026</w:t>
      </w:r>
    </w:p>
    <w:p>
      <w:pPr>
        <w:spacing w:before="40" w:after="200"/>
      </w:pPr>
      <w:r>
        <w:rPr>
          <w:i/>
          <w:color w:val="333333"/>
          <w:sz w:val="19"/>
        </w:rPr>
        <w:t>Comment: The corrosion trend remained controlled overall, with recent mild steel and copper readings staying comfortably within the required limits.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68696"/>
            <wp:docPr id="2" name="Picture 2"/>
            <wp:cNvGraphicFramePr>
              <a:graphicFrameLocks noChangeAspect="1"/>
            </wp:cNvGraphicFramePr>
            <a:graphic>
              <a:graphicData uri="http://schemas.openxmlformats.org/drawingml/2006/picture">
                <pic:pic>
                  <pic:nvPicPr>
                    <pic:cNvPr id="0" name="flowserve_us_raleigh_nc_us_july_2026_traced_product.png"/>
                    <pic:cNvPicPr/>
                  </pic:nvPicPr>
                  <pic:blipFill>
                    <a:blip r:embed="rId12"/>
                    <a:stretch>
                      <a:fillRect/>
                    </a:stretch>
                  </pic:blipFill>
                  <pic:spPr>
                    <a:xfrm>
                      <a:off x="0" y="0"/>
                      <a:ext cx="5486400" cy="2568696"/>
                    </a:xfrm>
                    <a:prstGeom prst="rect"/>
                  </pic:spPr>
                </pic:pic>
              </a:graphicData>
            </a:graphic>
          </wp:inline>
        </w:drawing>
      </w:r>
    </w:p>
    <w:p>
      <w:pPr>
        <w:spacing w:after="120"/>
        <w:jc w:val="center"/>
      </w:pPr>
      <w:r>
        <w:rPr>
          <w:i/>
          <w:color w:val="444444"/>
          <w:sz w:val="17"/>
        </w:rPr>
        <w:t>Figure 2: Traced Product — July 2026</w:t>
      </w:r>
    </w:p>
    <w:p>
      <w:pPr>
        <w:spacing w:before="40" w:after="200"/>
      </w:pPr>
      <w:r>
        <w:rPr>
          <w:i/>
          <w:color w:val="333333"/>
          <w:sz w:val="19"/>
        </w:rPr>
        <w:t>Comment: The Traced Product trend spent part of July within range but remained above the SCC control band often enough to require continued review.</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70877"/>
            <wp:docPr id="3" name="Picture 3"/>
            <wp:cNvGraphicFramePr>
              <a:graphicFrameLocks noChangeAspect="1"/>
            </wp:cNvGraphicFramePr>
            <a:graphic>
              <a:graphicData uri="http://schemas.openxmlformats.org/drawingml/2006/picture">
                <pic:pic>
                  <pic:nvPicPr>
                    <pic:cNvPr id="0" name="flowserve_us_raleigh_nc_us_july_2026_orp_corrosion.png"/>
                    <pic:cNvPicPr/>
                  </pic:nvPicPr>
                  <pic:blipFill>
                    <a:blip r:embed="rId13"/>
                    <a:stretch>
                      <a:fillRect/>
                    </a:stretch>
                  </pic:blipFill>
                  <pic:spPr>
                    <a:xfrm>
                      <a:off x="0" y="0"/>
                      <a:ext cx="5486400" cy="2570877"/>
                    </a:xfrm>
                    <a:prstGeom prst="rect"/>
                  </pic:spPr>
                </pic:pic>
              </a:graphicData>
            </a:graphic>
          </wp:inline>
        </w:drawing>
      </w:r>
    </w:p>
    <w:p>
      <w:pPr>
        <w:spacing w:after="120"/>
        <w:jc w:val="center"/>
      </w:pPr>
      <w:r>
        <w:rPr>
          <w:i/>
          <w:color w:val="444444"/>
          <w:sz w:val="17"/>
        </w:rPr>
        <w:t>Figure 3: ORP vs Copper Corrosion Rate — July 2026</w:t>
      </w:r>
    </w:p>
    <w:p>
      <w:pPr>
        <w:spacing w:before="40" w:after="200"/>
      </w:pPr>
      <w:r>
        <w:rPr>
          <w:i/>
          <w:color w:val="333333"/>
          <w:sz w:val="19"/>
        </w:rPr>
        <w:t>Comment: The ORP response showed treatment activity without requiring absolute ORP values to be reported in the narrative.</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68696"/>
            <wp:docPr id="4" name="Picture 4"/>
            <wp:cNvGraphicFramePr>
              <a:graphicFrameLocks noChangeAspect="1"/>
            </wp:cNvGraphicFramePr>
            <a:graphic>
              <a:graphicData uri="http://schemas.openxmlformats.org/drawingml/2006/picture">
                <pic:pic>
                  <pic:nvPicPr>
                    <pic:cNvPr id="0" name="flowserve_us_raleigh_nc_us_july_2026_biocide_corrosion.png"/>
                    <pic:cNvPicPr/>
                  </pic:nvPicPr>
                  <pic:blipFill>
                    <a:blip r:embed="rId14"/>
                    <a:stretch>
                      <a:fillRect/>
                    </a:stretch>
                  </pic:blipFill>
                  <pic:spPr>
                    <a:xfrm>
                      <a:off x="0" y="0"/>
                      <a:ext cx="5486400" cy="2568696"/>
                    </a:xfrm>
                    <a:prstGeom prst="rect"/>
                  </pic:spPr>
                </pic:pic>
              </a:graphicData>
            </a:graphic>
          </wp:inline>
        </w:drawing>
      </w:r>
    </w:p>
    <w:p>
      <w:pPr>
        <w:spacing w:after="120"/>
        <w:jc w:val="center"/>
      </w:pPr>
      <w:r>
        <w:rPr>
          <w:i/>
          <w:color w:val="444444"/>
          <w:sz w:val="17"/>
        </w:rPr>
        <w:t>Figure 4: Oxidizing Biocide Pump Relay vs Copper Corrosion — July 2026</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66519"/>
            <wp:docPr id="5" name="Picture 5"/>
            <wp:cNvGraphicFramePr>
              <a:graphicFrameLocks noChangeAspect="1"/>
            </wp:cNvGraphicFramePr>
            <a:graphic>
              <a:graphicData uri="http://schemas.openxmlformats.org/drawingml/2006/picture">
                <pic:pic>
                  <pic:nvPicPr>
                    <pic:cNvPr id="0" name="flowserve_us_raleigh_nc_us_july_2026_conductivity.png"/>
                    <pic:cNvPicPr/>
                  </pic:nvPicPr>
                  <pic:blipFill>
                    <a:blip r:embed="rId15"/>
                    <a:stretch>
                      <a:fillRect/>
                    </a:stretch>
                  </pic:blipFill>
                  <pic:spPr>
                    <a:xfrm>
                      <a:off x="0" y="0"/>
                      <a:ext cx="5486400" cy="2566519"/>
                    </a:xfrm>
                    <a:prstGeom prst="rect"/>
                  </pic:spPr>
                </pic:pic>
              </a:graphicData>
            </a:graphic>
          </wp:inline>
        </w:drawing>
      </w:r>
    </w:p>
    <w:p>
      <w:pPr>
        <w:spacing w:after="120"/>
        <w:jc w:val="center"/>
      </w:pPr>
      <w:r>
        <w:rPr>
          <w:i/>
          <w:color w:val="444444"/>
          <w:sz w:val="17"/>
        </w:rPr>
        <w:t>Figure 5: Electrode Conductivity — July 2026</w:t>
      </w:r>
    </w:p>
    <w:p>
      <w:pPr>
        <w:spacing w:before="40" w:after="200"/>
      </w:pPr>
      <w:r>
        <w:rPr>
          <w:i/>
          <w:color w:val="333333"/>
          <w:sz w:val="19"/>
        </w:rPr>
        <w:t>Comment: The conductivity trend was below the SCC range for much of the recent period but moved closer to the control band near the end of the month.</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Flowserve US Raleigh NC maintained good corrosion control during July 2026, while scale control and product efficiency should continue to be reviewed because Traced Product was above the SCC range for part of the month. Conductivity control requires attention due to low in-range performance, and FRC should be measured during the upcoming service visit to confirm microbial control.</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July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