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06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averaged 91.9 ppm against the SCC target range of 82.0-88.0 ppm, with 41.3% of July readings maintained within range. Observation: Traced Product was above the programmed control band for much of the month, indicating scale control needs attention even though part of the month was within range. Conductivity was below its SCC range for most of the same period, which points to water balance or dilution conditions as a likely contributor rather than a simple overfeed condition alone. Recommendation: verify fluorometer calibration, review product feed settings, check pump rate, and inspect water balance and blowdown/makeup behavior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