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averaged 91.9 ppm against the SCC target range of 82.0-88.0 ppm, with 41.3% of July readings maintained within range. Observation: Traced Product was above the programmed control band for much of the month, indicating scale control needs attention even though part of the month was within range. Conductivity was below its SCC range for most of the same period, which points to water balance or dilution conditions as a likely contributor rather than a simple overfeed condition alone. Recommendation: verify fluorometer calibration, review product feed settings, check pump rate, and inspect water balance and blowdown/makeup behavior during the upcoming service visit.</w:t>
      </w:r>
    </w:p>
    <w:p>
      <w:pPr>
        <w:spacing w:before="80" w:after="120"/>
        <w:jc w:val="left"/>
      </w:pPr>
      <w:r>
        <w:rPr>
          <w:b w:val="0"/>
          <w:i w:val="0"/>
          <w:sz w:val="20"/>
        </w:rPr>
        <w:t>Trace was higher than target for 80.1% of the month while conductivity decreased; product control will be optimised using optimising control logic. Trace decreased while conductivity was also low or decreasing, indicating water loss; this will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