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06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41.3% of the reporting month. Traced Product was higher than target during the initial part of the month and improved later, but end-of-month control was 52.4% within range, so it is not yet consistently maintained well.</w:t>
      </w:r>
    </w:p>
    <w:p>
      <w:pPr>
        <w:spacing w:before="80" w:after="120"/>
        <w:jc w:val="left"/>
      </w:pPr>
      <w:r>
        <w:rPr>
          <w:b w:val="0"/>
          <w:i w:val="0"/>
          <w:sz w:val="20"/>
        </w:rPr>
        <w:t>Traced Product averaged 91.9 ppm against the SCC target range of 82.0-88.0 ppm. The product was higher than target during the initial part of the month and moved closer to the control band later, but end-of-month control was not yet consistently maintained well. Conductivity was below its SCC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i/>
          <w:color w:val="333333"/>
          <w:sz w:val="19"/>
        </w:rPr>
        <w:t>Comment: The corrosion trend remained controlled overall, with recent mild steel and copper readings staying comfortably within the required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i/>
          <w:color w:val="333333"/>
          <w:sz w:val="19"/>
        </w:rPr>
        <w:t>Comment: The Traced Product trend spent part of July within range but remained above the SCC control band often enough to require continued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i/>
          <w:color w:val="333333"/>
          <w:sz w:val="19"/>
        </w:rPr>
        <w:t>Comment: The ORP response showed treatment activity without requiring absolute ORP values to be reported in the narrative.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i/>
          <w:color w:val="333333"/>
          <w:sz w:val="19"/>
        </w:rPr>
        <w:t>Comment: The conductivity trend was below the SCC range for much of the recent period but moved closer to the control band near the end of the month.</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