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06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41.3% of the reporting month. Traced Product was higher than target during the initial part of the month and improved later, but end-of-month control was 52.4% within range, so it is not yet consistently maintained well. The end-of-month traced product deviation from setpoint is minimal, so the control logic will be optimised.</w:t>
      </w:r>
    </w:p>
    <w:p>
      <w:pPr>
        <w:spacing w:before="80" w:after="120"/>
        <w:jc w:val="left"/>
      </w:pPr>
      <w:r>
        <w:rPr>
          <w:b w:val="0"/>
          <w:i w:val="0"/>
          <w:sz w:val="20"/>
        </w:rPr>
        <w:t>Traced Product averaged 91.9 ppm against the SCC target range of 82.0-88.0 ppm. The product was higher than target during the initial part of the month and moved closer to the control band later, but end-of-month control was not yet consistently maintained well. Conductivity was below its SCC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