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b/>
          <w:i w:val="0"/>
          <w:color w:val="666666"/>
          <w:sz w:val="22"/>
        </w:rPr>
        <w:t>BUCKMAN DIGITAL WATER</w:t>
      </w:r>
    </w:p>
    <w:p>
      <w:pPr>
        <w:spacing w:before="80" w:after="80"/>
        <w:jc w:val="center"/>
      </w:pPr>
      <w:r>
        <w:rPr>
          <w:b/>
          <w:i w:val="0"/>
          <w:sz w:val="44"/>
        </w:rPr>
        <w:t>Monthly Cooling Water Performance Report</w:t>
      </w:r>
    </w:p>
    <w:p>
      <w:pPr>
        <w:spacing w:before="80" w:after="240"/>
        <w:jc w:val="center"/>
      </w:pPr>
      <w:r>
        <w:rPr>
          <w:b/>
          <w:i w:val="0"/>
          <w:color w:val="00857C"/>
          <w:sz w:val="32"/>
        </w:rPr>
        <w:t>Flowserve US Raleigh NC (US)</w:t>
      </w:r>
    </w:p>
    <w:p>
      <w:pPr>
        <w:spacing w:before="80" w:after="400"/>
        <w:jc w:val="center"/>
      </w:pPr>
      <w:r>
        <w:rPr>
          <w:b w:val="0"/>
          <w:i w:val="0"/>
          <w:color w:val="444444"/>
          <w:sz w:val="22"/>
        </w:rPr>
        <w:t>Reporting Month: May 2026</w:t>
      </w:r>
    </w:p>
    <w:tbl>
      <w:tblPr>
        <w:tblStyle w:val="TableGrid"/>
        <w:tblW w:type="auto" w:w="0"/>
        <w:tblLook w:firstColumn="1" w:firstRow="1" w:lastColumn="0" w:lastRow="0" w:noHBand="0" w:noVBand="1" w:val="04A0"/>
      </w:tblPr>
      <w:tblGrid>
        <w:gridCol w:w="2521"/>
        <w:gridCol w:w="2521"/>
        <w:gridCol w:w="2521"/>
        <w:gridCol w:w="2521"/>
      </w:tblGrid>
      <w:tr>
        <w:trPr>
          <w:trHeight w:val="400"/>
        </w:trPr>
        <w:tc>
          <w:tcPr>
            <w:tcW w:type="dxa" w:w="3118"/>
            <w:shd w:val="clear" w:color="auto" w:fill="00857C"/>
          </w:tcPr>
          <w:p>
            <w:pPr>
              <w:spacing w:before="60" w:after="60"/>
            </w:pPr>
            <w:r>
              <w:rPr>
                <w:b/>
                <w:color w:val="FFFFFF"/>
                <w:sz w:val="20"/>
              </w:rPr>
              <w:t>Customer / Site</w:t>
            </w:r>
          </w:p>
        </w:tc>
        <w:tc>
          <w:tcPr>
            <w:tcW w:type="dxa" w:w="1701"/>
            <w:shd w:val="clear" w:color="auto" w:fill="00857C"/>
          </w:tcPr>
          <w:p>
            <w:pPr>
              <w:spacing w:before="60" w:after="60"/>
            </w:pPr>
            <w:r>
              <w:rPr>
                <w:b/>
                <w:color w:val="FFFFFF"/>
                <w:sz w:val="20"/>
              </w:rPr>
              <w:t>System</w:t>
            </w:r>
          </w:p>
        </w:tc>
        <w:tc>
          <w:tcPr>
            <w:tcW w:type="dxa" w:w="1984"/>
            <w:shd w:val="clear" w:color="auto" w:fill="00857C"/>
          </w:tcPr>
          <w:p>
            <w:pPr>
              <w:spacing w:before="60" w:after="60"/>
            </w:pPr>
            <w:r>
              <w:rPr>
                <w:b/>
                <w:color w:val="FFFFFF"/>
                <w:sz w:val="20"/>
              </w:rPr>
              <w:t>Controller</w:t>
            </w:r>
          </w:p>
        </w:tc>
        <w:tc>
          <w:tcPr>
            <w:tcW w:type="dxa" w:w="2551"/>
            <w:shd w:val="clear" w:color="auto" w:fill="00857C"/>
          </w:tcPr>
          <w:p>
            <w:pPr>
              <w:spacing w:before="60" w:after="60"/>
            </w:pPr>
            <w:r>
              <w:rPr>
                <w:b/>
                <w:color w:val="FFFFFF"/>
                <w:sz w:val="20"/>
              </w:rPr>
              <w:t>Prepared For</w:t>
            </w:r>
          </w:p>
        </w:tc>
      </w:tr>
      <w:tr>
        <w:tc>
          <w:tcPr>
            <w:tcW w:type="dxa" w:w="3118"/>
            <w:shd w:val="clear" w:color="auto" w:fill="FFFFFF"/>
          </w:tcPr>
          <w:p>
            <w:pPr>
              <w:spacing w:before="60" w:after="60"/>
            </w:pPr>
            <w:r>
              <w:rPr>
                <w:sz w:val="20"/>
              </w:rPr>
              <w:t>Flowserve US Raleigh NC (US)</w:t>
            </w:r>
          </w:p>
        </w:tc>
        <w:tc>
          <w:tcPr>
            <w:tcW w:type="dxa" w:w="1701"/>
            <w:shd w:val="clear" w:color="auto" w:fill="FFFFFF"/>
          </w:tcPr>
          <w:p>
            <w:pPr>
              <w:spacing w:before="60" w:after="60"/>
            </w:pPr>
            <w:r>
              <w:rPr>
                <w:sz w:val="20"/>
              </w:rPr>
              <w:t>Cooling Tower</w:t>
            </w:r>
          </w:p>
        </w:tc>
        <w:tc>
          <w:tcPr>
            <w:tcW w:type="dxa" w:w="1984"/>
            <w:shd w:val="clear" w:color="auto" w:fill="FFFFFF"/>
          </w:tcPr>
          <w:p>
            <w:pPr>
              <w:spacing w:before="60" w:after="60"/>
            </w:pPr>
            <w:r>
              <w:rPr>
                <w:sz w:val="20"/>
              </w:rPr>
              <w:t>84253F5EE1C9</w:t>
            </w:r>
          </w:p>
        </w:tc>
        <w:tc>
          <w:tcPr>
            <w:tcW w:type="dxa" w:w="2551"/>
            <w:shd w:val="clear" w:color="auto" w:fill="FFFFFF"/>
          </w:tcPr>
          <w:p>
            <w:pPr>
              <w:spacing w:before="60" w:after="60"/>
            </w:pPr>
            <w:r>
              <w:rPr>
                <w:sz w:val="20"/>
              </w:rPr>
              <w:t>Monthly Performance Review</w:t>
            </w:r>
          </w:p>
        </w:tc>
      </w:tr>
    </w:tbl>
    <w:p/>
    <w:p>
      <w:pPr>
        <w:spacing w:before="240" w:after="120"/>
        <w:jc w:val="left"/>
      </w:pPr>
    </w:p>
    <w:p>
      <w:pPr>
        <w:spacing w:before="120" w:after="120"/>
        <w:jc w:val="center"/>
      </w:pPr>
      <w:r>
        <w:rPr>
          <w:b w:val="0"/>
          <w:i w:val="0"/>
          <w:color w:val="444444"/>
          <w:sz w:val="20"/>
        </w:rPr>
        <w:t>This report summarises corrosion control, scale control, microbial control, water efficiency, product efficiency, and proactive system support for Flowserve US Raleigh NC (US) for May 2026, using SCC setpoints, telemetry KPIs, ADE/MDE field data, and service note records.</w:t>
      </w:r>
    </w:p>
    <w:p>
      <w:pPr>
        <w:spacing w:before="120" w:after="120"/>
        <w:jc w:val="left"/>
      </w:pPr>
    </w:p>
    <w:tbl>
      <w:tblPr>
        <w:tblStyle w:val="TableGrid"/>
        <w:tblW w:type="auto" w:w="0"/>
        <w:tblLook w:firstColumn="1" w:firstRow="1" w:lastColumn="0" w:lastRow="0" w:noHBand="0" w:noVBand="1" w:val="04A0"/>
      </w:tblPr>
      <w:tblGrid>
        <w:gridCol w:w="3362"/>
        <w:gridCol w:w="3362"/>
        <w:gridCol w:w="3362"/>
      </w:tblGrid>
      <w:tr>
        <w:trPr>
          <w:trHeight w:val="400"/>
        </w:trPr>
        <w:tc>
          <w:tcPr>
            <w:tcW w:type="dxa" w:w="3118"/>
            <w:shd w:val="clear" w:color="auto" w:fill="00857C"/>
          </w:tcPr>
          <w:p>
            <w:pPr>
              <w:spacing w:before="60" w:after="60"/>
            </w:pPr>
            <w:r>
              <w:rPr>
                <w:b/>
                <w:color w:val="FFFFFF"/>
                <w:sz w:val="20"/>
              </w:rPr>
              <w:t>Prepared By</w:t>
            </w:r>
          </w:p>
        </w:tc>
        <w:tc>
          <w:tcPr>
            <w:tcW w:type="dxa" w:w="2835"/>
            <w:shd w:val="clear" w:color="auto" w:fill="00857C"/>
          </w:tcPr>
          <w:p>
            <w:pPr>
              <w:spacing w:before="60" w:after="60"/>
            </w:pPr>
            <w:r>
              <w:rPr>
                <w:b/>
                <w:color w:val="FFFFFF"/>
                <w:sz w:val="20"/>
              </w:rPr>
              <w:t>Prepared Date</w:t>
            </w:r>
          </w:p>
        </w:tc>
        <w:tc>
          <w:tcPr>
            <w:tcW w:type="dxa" w:w="3402"/>
            <w:shd w:val="clear" w:color="auto" w:fill="00857C"/>
          </w:tcPr>
          <w:p>
            <w:pPr>
              <w:spacing w:before="60" w:after="60"/>
            </w:pPr>
            <w:r>
              <w:rPr>
                <w:b/>
                <w:color w:val="FFFFFF"/>
                <w:sz w:val="20"/>
              </w:rPr>
              <w:t>Report Status</w:t>
            </w:r>
          </w:p>
        </w:tc>
      </w:tr>
      <w:tr>
        <w:tc>
          <w:tcPr>
            <w:tcW w:type="dxa" w:w="3118"/>
            <w:shd w:val="clear" w:color="auto" w:fill="FFFFFF"/>
          </w:tcPr>
          <w:p>
            <w:pPr>
              <w:spacing w:before="60" w:after="60"/>
            </w:pPr>
            <w:r>
              <w:rPr>
                <w:sz w:val="20"/>
              </w:rPr>
              <w:t>Buckman Digital Water</w:t>
            </w:r>
          </w:p>
        </w:tc>
        <w:tc>
          <w:tcPr>
            <w:tcW w:type="dxa" w:w="2835"/>
            <w:shd w:val="clear" w:color="auto" w:fill="FFFFFF"/>
          </w:tcPr>
          <w:p>
            <w:pPr>
              <w:spacing w:before="60" w:after="60"/>
            </w:pPr>
            <w:r>
              <w:rPr>
                <w:sz w:val="20"/>
              </w:rPr>
              <w:t>24 June 2026</w:t>
            </w:r>
          </w:p>
        </w:tc>
        <w:tc>
          <w:tcPr>
            <w:tcW w:type="dxa" w:w="3402"/>
            <w:shd w:val="clear" w:color="auto" w:fill="FFFFFF"/>
          </w:tcPr>
          <w:p>
            <w:pPr>
              <w:spacing w:before="60" w:after="60"/>
            </w:pPr>
            <w:r>
              <w:rPr>
                <w:sz w:val="20"/>
              </w:rPr>
              <w:t>Draft</w:t>
            </w:r>
          </w:p>
        </w:tc>
      </w:tr>
    </w:tbl>
    <w:p/>
    <w:p>
      <w:r>
        <w:br w:type="page"/>
      </w:r>
    </w:p>
    <w:p>
      <w:pPr>
        <w:pBdr>
          <w:bottom w:val="single" w:sz="8" w:space="4" w:color="00857C"/>
        </w:pBdr>
        <w:spacing w:before="240" w:after="80"/>
      </w:pPr>
      <w:r>
        <w:rPr>
          <w:b/>
          <w:color w:val="00857C"/>
          <w:sz w:val="36"/>
        </w:rPr>
        <w:t>Executive Summary</w:t>
      </w:r>
    </w:p>
    <w:p>
      <w:pPr>
        <w:spacing w:before="240" w:after="80"/>
      </w:pPr>
      <w:r>
        <w:rPr>
          <w:b/>
          <w:color w:val="00857C"/>
          <w:sz w:val="28"/>
        </w:rPr>
        <w:t>System Health Check</w:t>
      </w:r>
    </w:p>
    <w:p>
      <w:pPr>
        <w:spacing w:before="240" w:after="80"/>
      </w:pPr>
      <w:r>
        <w:rPr>
          <w:b/>
          <w:color w:val="00857C"/>
          <w:sz w:val="24"/>
        </w:rPr>
        <w:t>Corrosion Control</w:t>
      </w:r>
    </w:p>
    <w:p>
      <w:pPr>
        <w:spacing w:before="80" w:after="120"/>
      </w:pPr>
      <w:r>
        <w:rPr>
          <w:b/>
          <w:sz w:val="22"/>
        </w:rPr>
        <w:t xml:space="preserve">Status: </w:t>
      </w:r>
      <w:r>
        <w:rPr>
          <w:b/>
          <w:color w:val="00857C"/>
          <w:sz w:val="22"/>
        </w:rPr>
        <w:t>Good</w:t>
      </w:r>
    </w:p>
    <w:p>
      <w:pPr>
        <w:spacing w:before="120" w:after="120"/>
        <w:jc w:val="left"/>
      </w:pPr>
      <w:r>
        <w:rPr>
          <w:b w:val="0"/>
          <w:i w:val="0"/>
          <w:sz w:val="20"/>
        </w:rPr>
        <w:t>The average mild steel corrosion rate was 1.13 MPY against the target of within 3.0 MPY, and the average copper corrosion rate was 0.2246 MPY against the target of within 0.5 MPY. Both corrosion indicators were well within the industry standard targets, indicating effective corrosion inhibition and stable chemical control for the reporting period.</w:t>
      </w:r>
    </w:p>
    <w:p>
      <w:pPr>
        <w:jc w:val="center"/>
      </w:pPr>
      <w:r>
        <w:drawing>
          <wp:inline xmlns:a="http://schemas.openxmlformats.org/drawingml/2006/main" xmlns:pic="http://schemas.openxmlformats.org/drawingml/2006/picture">
            <wp:extent cx="5303520" cy="260046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600469"/>
                    </a:xfrm>
                    <a:prstGeom prst="rect"/>
                  </pic:spPr>
                </pic:pic>
              </a:graphicData>
            </a:graphic>
          </wp:inline>
        </w:drawing>
      </w:r>
    </w:p>
    <w:p>
      <w:pPr>
        <w:spacing w:before="40" w:after="160"/>
        <w:jc w:val="center"/>
      </w:pPr>
      <w:r>
        <w:rPr>
          <w:i/>
          <w:color w:val="555555"/>
          <w:sz w:val="18"/>
        </w:rPr>
        <w:t>Figure 1: Corrosion Rate Trend — May 2026</w:t>
      </w:r>
    </w:p>
    <w:p>
      <w:pPr>
        <w:spacing w:before="120" w:after="120"/>
        <w:jc w:val="left"/>
      </w:pPr>
      <w:r>
        <w:rPr>
          <w:b w:val="0"/>
          <w:i/>
          <w:color w:val="333333"/>
          <w:sz w:val="20"/>
        </w:rPr>
        <w:t>Comment: Mild steel corrosion averaged 1.13 MPY and copper corrosion averaged 0.2246 MPY throughout May 2026. Both remained well below the target limits of 3.0 MPY and 0.5 MPY respectively, confirming strong asset protection.</w:t>
      </w:r>
    </w:p>
    <w:p>
      <w:pPr>
        <w:spacing w:before="240" w:after="80"/>
      </w:pPr>
      <w:r>
        <w:rPr>
          <w:b/>
          <w:color w:val="00857C"/>
          <w:sz w:val="24"/>
        </w:rPr>
        <w:t>Scale Control</w:t>
      </w:r>
    </w:p>
    <w:p>
      <w:pPr>
        <w:spacing w:before="80" w:after="120"/>
      </w:pPr>
      <w:r>
        <w:rPr>
          <w:b/>
          <w:sz w:val="22"/>
        </w:rPr>
        <w:t xml:space="preserve">Status: </w:t>
      </w:r>
      <w:r>
        <w:rPr>
          <w:b/>
          <w:color w:val="B8860B"/>
          <w:sz w:val="22"/>
        </w:rPr>
        <w:t>Stable</w:t>
      </w:r>
    </w:p>
    <w:p>
      <w:pPr>
        <w:spacing w:before="120" w:after="120"/>
        <w:jc w:val="left"/>
      </w:pPr>
      <w:r>
        <w:rPr>
          <w:b w:val="0"/>
          <w:i w:val="0"/>
          <w:sz w:val="20"/>
        </w:rPr>
        <w:t>The Traced Product control trend for May 2026 was stable. The Traced Product was maintained within the SCC target control range of 82.0–88.0 ppm for 35% of recent readings.</w:t>
      </w:r>
    </w:p>
    <w:p>
      <w:pPr>
        <w:spacing w:before="120" w:after="120"/>
        <w:jc w:val="left"/>
      </w:pPr>
      <w:r>
        <w:rPr>
          <w:b w:val="0"/>
          <w:i w:val="0"/>
          <w:sz w:val="20"/>
        </w:rPr>
        <w:t>Observation: The Traced Product concentration averaged 98.3 ppm, which is above the SCC upper control limit of 88.0 ppm, indicating overfeeding.</w:t>
      </w:r>
    </w:p>
    <w:p>
      <w:pPr>
        <w:spacing w:before="120" w:after="120"/>
        <w:jc w:val="left"/>
      </w:pPr>
      <w:r>
        <w:rPr>
          <w:b w:val="0"/>
          <w:i w:val="0"/>
          <w:sz w:val="20"/>
        </w:rPr>
        <w:t>Root cause: Conductivity was within its SCC control range for 100% of recent readings and remained stable during this period. This confirms the deviation is a product feed issue rather than a water loss or dilution event.</w:t>
      </w:r>
    </w:p>
    <w:p>
      <w:pPr>
        <w:spacing w:before="120" w:after="120"/>
        <w:jc w:val="left"/>
      </w:pPr>
      <w:r>
        <w:rPr>
          <w:b w:val="0"/>
          <w:i w:val="0"/>
          <w:sz w:val="20"/>
        </w:rPr>
        <w:t>Recommendation: Check the dosing pump rate and reduce if running above setpoint. Verify fluorometer calibration with a grab sample. Review the dosing schedule and confirm the relay is not running in manual override.</w:t>
      </w:r>
    </w:p>
    <w:p>
      <w:pPr>
        <w:jc w:val="center"/>
      </w:pPr>
      <w:r>
        <w:drawing>
          <wp:inline xmlns:a="http://schemas.openxmlformats.org/drawingml/2006/main" xmlns:pic="http://schemas.openxmlformats.org/drawingml/2006/picture">
            <wp:extent cx="5303520" cy="260298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602986"/>
                    </a:xfrm>
                    <a:prstGeom prst="rect"/>
                  </pic:spPr>
                </pic:pic>
              </a:graphicData>
            </a:graphic>
          </wp:inline>
        </w:drawing>
      </w:r>
    </w:p>
    <w:p>
      <w:pPr>
        <w:spacing w:before="40" w:after="160"/>
        <w:jc w:val="center"/>
      </w:pPr>
      <w:r>
        <w:rPr>
          <w:i/>
          <w:color w:val="555555"/>
          <w:sz w:val="18"/>
        </w:rPr>
        <w:t>Figure 2: Traced Product One-Month Trend — May 2026</w:t>
      </w:r>
    </w:p>
    <w:p>
      <w:pPr>
        <w:spacing w:before="120" w:after="120"/>
        <w:jc w:val="left"/>
      </w:pPr>
      <w:r>
        <w:rPr>
          <w:b w:val="0"/>
          <w:i/>
          <w:color w:val="333333"/>
          <w:sz w:val="20"/>
        </w:rPr>
        <w:t>Comment: Traced Product averaged 98.3 ppm against the SCC target of 85.0 ppm (range 82.0–88.0 ppm). Only 35% of recent readings were within the SCC control range. Conductivity was stable, confirming this is a product feed or calibration issue.</w:t>
      </w:r>
    </w:p>
    <w:p>
      <w:pPr>
        <w:spacing w:before="240" w:after="80"/>
      </w:pPr>
      <w:r>
        <w:rPr>
          <w:b/>
          <w:color w:val="00857C"/>
          <w:sz w:val="24"/>
        </w:rPr>
        <w:t>Microbial Control</w:t>
      </w:r>
    </w:p>
    <w:p>
      <w:pPr>
        <w:spacing w:before="80" w:after="120"/>
      </w:pPr>
      <w:r>
        <w:rPr>
          <w:b/>
          <w:sz w:val="22"/>
        </w:rPr>
        <w:t xml:space="preserve">Status: </w:t>
      </w:r>
      <w:r>
        <w:rPr>
          <w:b/>
          <w:color w:val="B8860B"/>
          <w:sz w:val="22"/>
        </w:rPr>
        <w:t>Stable</w:t>
      </w:r>
    </w:p>
    <w:p>
      <w:pPr>
        <w:spacing w:before="120" w:after="120"/>
        <w:jc w:val="left"/>
      </w:pPr>
      <w:r>
        <w:rPr>
          <w:b w:val="0"/>
          <w:i w:val="0"/>
          <w:sz w:val="20"/>
        </w:rPr>
        <w:t>FRC data was not available in the MDE data for this reporting period and will be checked during the upcoming service visit.</w:t>
      </w:r>
    </w:p>
    <w:p>
      <w:pPr>
        <w:spacing w:before="120" w:after="120"/>
        <w:jc w:val="left"/>
      </w:pPr>
      <w:r>
        <w:rPr>
          <w:b w:val="0"/>
          <w:i w:val="0"/>
          <w:sz w:val="20"/>
        </w:rPr>
        <w:t>ORP spike response after timer-controlled biocide feed was consistent, indicating the system responded to treatment.</w:t>
      </w:r>
    </w:p>
    <w:p>
      <w:pPr>
        <w:jc w:val="center"/>
      </w:pPr>
      <w:r>
        <w:drawing>
          <wp:inline xmlns:a="http://schemas.openxmlformats.org/drawingml/2006/main" xmlns:pic="http://schemas.openxmlformats.org/drawingml/2006/picture">
            <wp:extent cx="5303520" cy="2610568"/>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10568"/>
                    </a:xfrm>
                    <a:prstGeom prst="rect"/>
                  </pic:spPr>
                </pic:pic>
              </a:graphicData>
            </a:graphic>
          </wp:inline>
        </w:drawing>
      </w:r>
    </w:p>
    <w:p>
      <w:pPr>
        <w:spacing w:before="40" w:after="160"/>
        <w:jc w:val="center"/>
      </w:pPr>
      <w:r>
        <w:rPr>
          <w:i/>
          <w:color w:val="555555"/>
          <w:sz w:val="18"/>
        </w:rPr>
        <w:t>Figure 3: ORP Spike Pattern vs Biocide Dosing — May 2026</w:t>
      </w:r>
    </w:p>
    <w:p>
      <w:pPr>
        <w:spacing w:before="120" w:after="120"/>
        <w:jc w:val="left"/>
      </w:pPr>
      <w:r>
        <w:rPr>
          <w:b w:val="0"/>
          <w:i/>
          <w:color w:val="333333"/>
          <w:sz w:val="20"/>
        </w:rPr>
        <w:t>Comment: The chart shows relative ORP spike response (no absolute ORP values) against biocide relay activity across May 2026. Consistent spikes after dosing events confirm effective biocide treatment.</w:t>
      </w:r>
    </w:p>
    <w:p>
      <w:pPr>
        <w:spacing w:before="240" w:after="80"/>
      </w:pPr>
      <w:r>
        <w:rPr>
          <w:b/>
          <w:color w:val="00857C"/>
          <w:sz w:val="28"/>
        </w:rPr>
        <w:t>Water Efficiency</w:t>
      </w:r>
    </w:p>
    <w:p>
      <w:pPr>
        <w:spacing w:before="120" w:after="120"/>
        <w:jc w:val="left"/>
      </w:pPr>
      <w:r>
        <w:rPr>
          <w:b w:val="0"/>
          <w:i w:val="0"/>
          <w:sz w:val="20"/>
        </w:rPr>
        <w:t>The SCC conductivity control setpoint is 950 µS/cm (control range 930–970 µS/cm). Conductivity was within the SCC control range for 0% of recent readings, indicating variable blowdown control. The 90-day conductivity average was 897.5 µS/cm. Makeup water conductivity was not available for this period, so actual cycles of concentration could not be calculated. Makeup conductivity should be captured at the next service visit to enable full COC reporting.</w:t>
      </w:r>
    </w:p>
    <w:p>
      <w:pPr>
        <w:jc w:val="center"/>
      </w:pPr>
      <w:r>
        <w:drawing>
          <wp:inline xmlns:a="http://schemas.openxmlformats.org/drawingml/2006/main" xmlns:pic="http://schemas.openxmlformats.org/drawingml/2006/picture">
            <wp:extent cx="5303520" cy="2605508"/>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2605508"/>
                    </a:xfrm>
                    <a:prstGeom prst="rect"/>
                  </pic:spPr>
                </pic:pic>
              </a:graphicData>
            </a:graphic>
          </wp:inline>
        </w:drawing>
      </w:r>
    </w:p>
    <w:p>
      <w:pPr>
        <w:spacing w:before="40" w:after="160"/>
        <w:jc w:val="center"/>
      </w:pPr>
      <w:r>
        <w:rPr>
          <w:i/>
          <w:color w:val="555555"/>
          <w:sz w:val="18"/>
        </w:rPr>
        <w:t>Figure 4: Conductivity vs SCC Setpoint — May 2026</w:t>
      </w:r>
    </w:p>
    <w:p>
      <w:pPr>
        <w:spacing w:before="120" w:after="120"/>
        <w:jc w:val="left"/>
      </w:pPr>
      <w:r>
        <w:rPr>
          <w:b w:val="0"/>
          <w:i/>
          <w:color w:val="333333"/>
          <w:sz w:val="20"/>
        </w:rPr>
        <w:t>Comment: Conductivity was within the SCC programmed range (930–970 µS/cm) for 0% of recent readings. The broader 90-day mean of 897.5 µS/cm reflects the full period including any transient deviations.</w:t>
      </w:r>
    </w:p>
    <w:p>
      <w:pPr>
        <w:spacing w:before="240" w:after="80"/>
      </w:pPr>
      <w:r>
        <w:rPr>
          <w:b/>
          <w:color w:val="00857C"/>
          <w:sz w:val="28"/>
        </w:rPr>
        <w:t>Product Efficiency</w:t>
      </w:r>
    </w:p>
    <w:p>
      <w:pPr>
        <w:spacing w:before="120" w:after="120"/>
        <w:jc w:val="left"/>
      </w:pPr>
      <w:r>
        <w:rPr>
          <w:b w:val="0"/>
          <w:i w:val="0"/>
          <w:sz w:val="20"/>
        </w:rPr>
        <w:t>The Traced Product concentration averaged 98.3 ppm against the SCC target of 85.0 ppm (control range 82.0–88.0 ppm). The product was within the SCC control range for 35% of recent readings. Actual product consumption data was not available for this period and should be entered to enable full product efficiency reporting.</w:t>
      </w:r>
    </w:p>
    <w:p>
      <w:pPr>
        <w:spacing w:before="240" w:after="80"/>
      </w:pPr>
      <w:r>
        <w:rPr>
          <w:b/>
          <w:color w:val="00857C"/>
          <w:sz w:val="28"/>
        </w:rPr>
        <w:t>Proactive System Support</w:t>
      </w:r>
    </w:p>
    <w:p>
      <w:pPr>
        <w:spacing w:before="120" w:after="120"/>
        <w:jc w:val="left"/>
      </w:pPr>
      <w:r>
        <w:rPr>
          <w:b w:val="0"/>
          <w:i w:val="0"/>
          <w:sz w:val="20"/>
        </w:rPr>
        <w:t>No service notes were recorded for this period. Field actions and observations should be entered following the next site visit. Ackumen records an average of six alarms per controller overall. Alarm data was not available for this reporting period and should be included in the next data fetch.</w:t>
      </w:r>
    </w:p>
    <w:p>
      <w:pPr>
        <w:spacing w:before="120" w:after="120"/>
        <w:jc w:val="left"/>
      </w:pPr>
      <w:r>
        <w:rPr>
          <w:b/>
          <w:i w:val="0"/>
          <w:sz w:val="20"/>
        </w:rPr>
        <w:t>Follow-up items: confirm FRC at next service visit; review Traced Product dosing pump rate and fluorometer calibration; capture makeup water conductivity.</w:t>
      </w:r>
    </w:p>
    <w:p>
      <w:r>
        <w:br w:type="page"/>
      </w:r>
    </w:p>
    <w:p>
      <w:pPr>
        <w:pBdr>
          <w:bottom w:val="single" w:sz="8" w:space="4" w:color="00857C"/>
        </w:pBdr>
        <w:spacing w:before="240" w:after="80"/>
      </w:pPr>
      <w:r>
        <w:rPr>
          <w:b/>
          <w:color w:val="00857C"/>
          <w:sz w:val="36"/>
        </w:rPr>
        <w:t>Performance Summary</w:t>
      </w:r>
    </w:p>
    <w:p>
      <w:pPr>
        <w:spacing w:before="120" w:after="120"/>
        <w:jc w:val="left"/>
      </w:pPr>
      <w:r>
        <w:rPr>
          <w:b w:val="0"/>
          <w:i/>
          <w:color w:val="555555"/>
          <w:sz w:val="18"/>
        </w:rPr>
        <w:t>SCC setpoints from Cosmos DB are used as control limits. % In Range is calculated from the most recent 20 telemetry readings.</w:t>
      </w:r>
    </w:p>
    <w:tbl>
      <w:tblPr>
        <w:tblStyle w:val="TableGrid"/>
        <w:tblW w:type="auto" w:w="0"/>
        <w:tblLook w:firstColumn="1" w:firstRow="1" w:lastColumn="0" w:lastRow="0" w:noHBand="0" w:noVBand="1" w:val="04A0"/>
      </w:tblPr>
      <w:tblGrid>
        <w:gridCol w:w="1441"/>
        <w:gridCol w:w="1441"/>
        <w:gridCol w:w="1441"/>
        <w:gridCol w:w="1441"/>
        <w:gridCol w:w="1441"/>
        <w:gridCol w:w="1441"/>
        <w:gridCol w:w="1441"/>
      </w:tblGrid>
      <w:tr>
        <w:trPr>
          <w:trHeight w:val="400"/>
        </w:trPr>
        <w:tc>
          <w:tcPr>
            <w:tcW w:type="dxa" w:w="2551"/>
            <w:shd w:val="clear" w:color="auto" w:fill="00857C"/>
          </w:tcPr>
          <w:p>
            <w:pPr>
              <w:spacing w:before="60" w:after="60"/>
            </w:pPr>
            <w:r>
              <w:rPr>
                <w:b/>
                <w:color w:val="FFFFFF"/>
                <w:sz w:val="20"/>
              </w:rPr>
              <w:t>Parameter</w:t>
            </w:r>
          </w:p>
        </w:tc>
        <w:tc>
          <w:tcPr>
            <w:tcW w:type="dxa" w:w="1417"/>
            <w:shd w:val="clear" w:color="auto" w:fill="00857C"/>
          </w:tcPr>
          <w:p>
            <w:pPr>
              <w:spacing w:before="60" w:after="60"/>
            </w:pPr>
            <w:r>
              <w:rPr>
                <w:b/>
                <w:color w:val="FFFFFF"/>
                <w:sz w:val="20"/>
              </w:rPr>
              <w:t>Context Point</w:t>
            </w:r>
          </w:p>
        </w:tc>
        <w:tc>
          <w:tcPr>
            <w:tcW w:type="dxa" w:w="1020"/>
            <w:shd w:val="clear" w:color="auto" w:fill="00857C"/>
          </w:tcPr>
          <w:p>
            <w:pPr>
              <w:spacing w:before="60" w:after="60"/>
            </w:pPr>
            <w:r>
              <w:rPr>
                <w:b/>
                <w:color w:val="FFFFFF"/>
                <w:sz w:val="20"/>
              </w:rPr>
              <w:t>Lower Limit</w:t>
            </w:r>
          </w:p>
        </w:tc>
        <w:tc>
          <w:tcPr>
            <w:tcW w:type="dxa" w:w="1020"/>
            <w:shd w:val="clear" w:color="auto" w:fill="00857C"/>
          </w:tcPr>
          <w:p>
            <w:pPr>
              <w:spacing w:before="60" w:after="60"/>
            </w:pPr>
            <w:r>
              <w:rPr>
                <w:b/>
                <w:color w:val="FFFFFF"/>
                <w:sz w:val="20"/>
              </w:rPr>
              <w:t>Upper Limit</w:t>
            </w:r>
          </w:p>
        </w:tc>
        <w:tc>
          <w:tcPr>
            <w:tcW w:type="dxa" w:w="1417"/>
            <w:shd w:val="clear" w:color="auto" w:fill="00857C"/>
          </w:tcPr>
          <w:p>
            <w:pPr>
              <w:spacing w:before="60" w:after="60"/>
            </w:pPr>
            <w:r>
              <w:rPr>
                <w:b/>
                <w:color w:val="FFFFFF"/>
                <w:sz w:val="20"/>
              </w:rPr>
              <w:t>Monthly Average</w:t>
            </w:r>
          </w:p>
        </w:tc>
        <w:tc>
          <w:tcPr>
            <w:tcW w:type="dxa" w:w="1020"/>
            <w:shd w:val="clear" w:color="auto" w:fill="00857C"/>
          </w:tcPr>
          <w:p>
            <w:pPr>
              <w:spacing w:before="60" w:after="60"/>
            </w:pPr>
            <w:r>
              <w:rPr>
                <w:b/>
                <w:color w:val="FFFFFF"/>
                <w:sz w:val="20"/>
              </w:rPr>
              <w:t>% In Range</w:t>
            </w:r>
          </w:p>
        </w:tc>
        <w:tc>
          <w:tcPr>
            <w:tcW w:type="dxa" w:w="1701"/>
            <w:shd w:val="clear" w:color="auto" w:fill="00857C"/>
          </w:tcPr>
          <w:p>
            <w:pPr>
              <w:spacing w:before="60" w:after="60"/>
            </w:pPr>
            <w:r>
              <w:rPr>
                <w:b/>
                <w:color w:val="FFFFFF"/>
                <w:sz w:val="20"/>
              </w:rPr>
              <w:t>Status</w:t>
            </w:r>
          </w:p>
        </w:tc>
      </w:tr>
      <w:tr>
        <w:tc>
          <w:tcPr>
            <w:tcW w:type="dxa" w:w="2551"/>
            <w:shd w:val="clear" w:color="auto" w:fill="FFFFFF"/>
          </w:tcPr>
          <w:p>
            <w:pPr>
              <w:spacing w:before="60" w:after="60"/>
            </w:pPr>
            <w:r>
              <w:rPr>
                <w:sz w:val="20"/>
              </w:rPr>
              <w:t>Corrosion Probe — MS (MPY)</w:t>
            </w:r>
          </w:p>
        </w:tc>
        <w:tc>
          <w:tcPr>
            <w:tcW w:type="dxa" w:w="1417"/>
            <w:shd w:val="clear" w:color="auto" w:fill="FFFFFF"/>
          </w:tcPr>
          <w:p>
            <w:pPr>
              <w:spacing w:before="60" w:after="60"/>
            </w:pPr>
            <w:r>
              <w:rPr>
                <w:sz w:val="20"/>
              </w:rPr>
              <w:t>ACM Skid</w:t>
            </w:r>
          </w:p>
        </w:tc>
        <w:tc>
          <w:tcPr>
            <w:tcW w:type="dxa" w:w="1020"/>
            <w:shd w:val="clear" w:color="auto" w:fill="FFFFFF"/>
          </w:tcPr>
          <w:p>
            <w:pPr>
              <w:spacing w:before="60" w:after="60"/>
            </w:pPr>
            <w:r>
              <w:rPr>
                <w:sz w:val="20"/>
              </w:rPr>
              <w:t>0.00</w:t>
            </w:r>
          </w:p>
        </w:tc>
        <w:tc>
          <w:tcPr>
            <w:tcW w:type="dxa" w:w="1020"/>
            <w:shd w:val="clear" w:color="auto" w:fill="FFFFFF"/>
          </w:tcPr>
          <w:p>
            <w:pPr>
              <w:spacing w:before="60" w:after="60"/>
            </w:pPr>
            <w:r>
              <w:rPr>
                <w:sz w:val="20"/>
              </w:rPr>
              <w:t>3.00</w:t>
            </w:r>
          </w:p>
        </w:tc>
        <w:tc>
          <w:tcPr>
            <w:tcW w:type="dxa" w:w="1417"/>
            <w:shd w:val="clear" w:color="auto" w:fill="FFFFFF"/>
          </w:tcPr>
          <w:p>
            <w:pPr>
              <w:spacing w:before="60" w:after="60"/>
            </w:pPr>
            <w:r>
              <w:rPr>
                <w:sz w:val="20"/>
              </w:rPr>
              <w:t>1.13</w:t>
            </w:r>
          </w:p>
        </w:tc>
        <w:tc>
          <w:tcPr>
            <w:tcW w:type="dxa" w:w="1020"/>
            <w:shd w:val="clear" w:color="auto" w:fill="FFFFFF"/>
          </w:tcPr>
          <w:p>
            <w:pPr>
              <w:spacing w:before="60" w:after="60"/>
            </w:pPr>
            <w:r>
              <w:rPr>
                <w:sz w:val="20"/>
              </w:rPr>
              <w:t>100%</w:t>
            </w:r>
          </w:p>
        </w:tc>
        <w:tc>
          <w:tcPr>
            <w:tcW w:type="dxa" w:w="1701"/>
            <w:shd w:val="clear" w:color="auto" w:fill="FFFFFF"/>
          </w:tcPr>
          <w:p>
            <w:pPr>
              <w:spacing w:before="60" w:after="60"/>
            </w:pPr>
            <w:r>
              <w:rPr>
                <w:sz w:val="20"/>
              </w:rPr>
              <w:t>✓ Good</w:t>
            </w:r>
          </w:p>
        </w:tc>
      </w:tr>
      <w:tr>
        <w:tc>
          <w:tcPr>
            <w:tcW w:type="dxa" w:w="2551"/>
            <w:shd w:val="clear" w:color="auto" w:fill="F2F8F7"/>
          </w:tcPr>
          <w:p>
            <w:pPr>
              <w:spacing w:before="60" w:after="60"/>
            </w:pPr>
            <w:r>
              <w:rPr>
                <w:sz w:val="20"/>
              </w:rPr>
              <w:t>Corrosion Probe — Cu (MPY)</w:t>
            </w:r>
          </w:p>
        </w:tc>
        <w:tc>
          <w:tcPr>
            <w:tcW w:type="dxa" w:w="1417"/>
            <w:shd w:val="clear" w:color="auto" w:fill="F2F8F7"/>
          </w:tcPr>
          <w:p>
            <w:pPr>
              <w:spacing w:before="60" w:after="60"/>
            </w:pPr>
            <w:r>
              <w:rPr>
                <w:sz w:val="20"/>
              </w:rPr>
              <w:t>ACM Skid</w:t>
            </w:r>
          </w:p>
        </w:tc>
        <w:tc>
          <w:tcPr>
            <w:tcW w:type="dxa" w:w="1020"/>
            <w:shd w:val="clear" w:color="auto" w:fill="F2F8F7"/>
          </w:tcPr>
          <w:p>
            <w:pPr>
              <w:spacing w:before="60" w:after="60"/>
            </w:pPr>
            <w:r>
              <w:rPr>
                <w:sz w:val="20"/>
              </w:rPr>
              <w:t>0.00</w:t>
            </w:r>
          </w:p>
        </w:tc>
        <w:tc>
          <w:tcPr>
            <w:tcW w:type="dxa" w:w="1020"/>
            <w:shd w:val="clear" w:color="auto" w:fill="F2F8F7"/>
          </w:tcPr>
          <w:p>
            <w:pPr>
              <w:spacing w:before="60" w:after="60"/>
            </w:pPr>
            <w:r>
              <w:rPr>
                <w:sz w:val="20"/>
              </w:rPr>
              <w:t>0.50</w:t>
            </w:r>
          </w:p>
        </w:tc>
        <w:tc>
          <w:tcPr>
            <w:tcW w:type="dxa" w:w="1417"/>
            <w:shd w:val="clear" w:color="auto" w:fill="F2F8F7"/>
          </w:tcPr>
          <w:p>
            <w:pPr>
              <w:spacing w:before="60" w:after="60"/>
            </w:pPr>
            <w:r>
              <w:rPr>
                <w:sz w:val="20"/>
              </w:rPr>
              <w:t>0.2246</w:t>
            </w:r>
          </w:p>
        </w:tc>
        <w:tc>
          <w:tcPr>
            <w:tcW w:type="dxa" w:w="1020"/>
            <w:shd w:val="clear" w:color="auto" w:fill="F2F8F7"/>
          </w:tcPr>
          <w:p>
            <w:pPr>
              <w:spacing w:before="60" w:after="60"/>
            </w:pPr>
            <w:r>
              <w:rPr>
                <w:sz w:val="20"/>
              </w:rPr>
              <w:t>100%</w:t>
            </w:r>
          </w:p>
        </w:tc>
        <w:tc>
          <w:tcPr>
            <w:tcW w:type="dxa" w:w="1701"/>
            <w:shd w:val="clear" w:color="auto" w:fill="F2F8F7"/>
          </w:tcPr>
          <w:p>
            <w:pPr>
              <w:spacing w:before="60" w:after="60"/>
            </w:pPr>
            <w:r>
              <w:rPr>
                <w:sz w:val="20"/>
              </w:rPr>
              <w:t>✓ Good</w:t>
            </w:r>
          </w:p>
        </w:tc>
      </w:tr>
      <w:tr>
        <w:tc>
          <w:tcPr>
            <w:tcW w:type="dxa" w:w="2551"/>
            <w:shd w:val="clear" w:color="auto" w:fill="FFFFFF"/>
          </w:tcPr>
          <w:p>
            <w:pPr>
              <w:spacing w:before="60" w:after="60"/>
            </w:pPr>
            <w:r>
              <w:rPr>
                <w:sz w:val="20"/>
              </w:rPr>
              <w:t>Traced Product (ppm)</w:t>
            </w:r>
          </w:p>
        </w:tc>
        <w:tc>
          <w:tcPr>
            <w:tcW w:type="dxa" w:w="1417"/>
            <w:shd w:val="clear" w:color="auto" w:fill="FFFFFF"/>
          </w:tcPr>
          <w:p>
            <w:pPr>
              <w:spacing w:before="60" w:after="60"/>
            </w:pPr>
            <w:r>
              <w:rPr>
                <w:sz w:val="20"/>
              </w:rPr>
              <w:t>ACM Skid</w:t>
            </w:r>
          </w:p>
        </w:tc>
        <w:tc>
          <w:tcPr>
            <w:tcW w:type="dxa" w:w="1020"/>
            <w:shd w:val="clear" w:color="auto" w:fill="FFFFFF"/>
          </w:tcPr>
          <w:p>
            <w:pPr>
              <w:spacing w:before="60" w:after="60"/>
            </w:pPr>
            <w:r>
              <w:rPr>
                <w:sz w:val="20"/>
              </w:rPr>
              <w:t>82.0</w:t>
            </w:r>
          </w:p>
        </w:tc>
        <w:tc>
          <w:tcPr>
            <w:tcW w:type="dxa" w:w="1020"/>
            <w:shd w:val="clear" w:color="auto" w:fill="FFFFFF"/>
          </w:tcPr>
          <w:p>
            <w:pPr>
              <w:spacing w:before="60" w:after="60"/>
            </w:pPr>
            <w:r>
              <w:rPr>
                <w:sz w:val="20"/>
              </w:rPr>
              <w:t>88.0</w:t>
            </w:r>
          </w:p>
        </w:tc>
        <w:tc>
          <w:tcPr>
            <w:tcW w:type="dxa" w:w="1417"/>
            <w:shd w:val="clear" w:color="auto" w:fill="FFFFFF"/>
          </w:tcPr>
          <w:p>
            <w:pPr>
              <w:spacing w:before="60" w:after="60"/>
            </w:pPr>
            <w:r>
              <w:rPr>
                <w:sz w:val="20"/>
              </w:rPr>
              <w:t>98.3</w:t>
            </w:r>
          </w:p>
        </w:tc>
        <w:tc>
          <w:tcPr>
            <w:tcW w:type="dxa" w:w="1020"/>
            <w:shd w:val="clear" w:color="auto" w:fill="FFFFFF"/>
          </w:tcPr>
          <w:p>
            <w:pPr>
              <w:spacing w:before="60" w:after="60"/>
            </w:pPr>
            <w:r>
              <w:rPr>
                <w:sz w:val="20"/>
              </w:rPr>
              <w:t>35%</w:t>
            </w:r>
          </w:p>
        </w:tc>
        <w:tc>
          <w:tcPr>
            <w:tcW w:type="dxa" w:w="1701"/>
            <w:shd w:val="clear" w:color="auto" w:fill="FFFFFF"/>
          </w:tcPr>
          <w:p>
            <w:pPr>
              <w:spacing w:before="60" w:after="60"/>
            </w:pPr>
            <w:r>
              <w:rPr>
                <w:sz w:val="20"/>
              </w:rPr>
              <w:t>⚠ Stable</w:t>
            </w:r>
          </w:p>
        </w:tc>
      </w:tr>
      <w:tr>
        <w:tc>
          <w:tcPr>
            <w:tcW w:type="dxa" w:w="2551"/>
            <w:shd w:val="clear" w:color="auto" w:fill="F2F8F7"/>
          </w:tcPr>
          <w:p>
            <w:pPr>
              <w:spacing w:before="60" w:after="60"/>
            </w:pPr>
            <w:r>
              <w:rPr>
                <w:sz w:val="20"/>
              </w:rPr>
              <w:t>Conductivity (µS/cm)</w:t>
            </w:r>
          </w:p>
        </w:tc>
        <w:tc>
          <w:tcPr>
            <w:tcW w:type="dxa" w:w="1417"/>
            <w:shd w:val="clear" w:color="auto" w:fill="F2F8F7"/>
          </w:tcPr>
          <w:p>
            <w:pPr>
              <w:spacing w:before="60" w:after="60"/>
            </w:pPr>
            <w:r>
              <w:rPr>
                <w:sz w:val="20"/>
              </w:rPr>
              <w:t>ACM Skid</w:t>
            </w:r>
          </w:p>
        </w:tc>
        <w:tc>
          <w:tcPr>
            <w:tcW w:type="dxa" w:w="1020"/>
            <w:shd w:val="clear" w:color="auto" w:fill="F2F8F7"/>
          </w:tcPr>
          <w:p>
            <w:pPr>
              <w:spacing w:before="60" w:after="60"/>
            </w:pPr>
            <w:r>
              <w:rPr>
                <w:sz w:val="20"/>
              </w:rPr>
              <w:t>930</w:t>
            </w:r>
          </w:p>
        </w:tc>
        <w:tc>
          <w:tcPr>
            <w:tcW w:type="dxa" w:w="1020"/>
            <w:shd w:val="clear" w:color="auto" w:fill="F2F8F7"/>
          </w:tcPr>
          <w:p>
            <w:pPr>
              <w:spacing w:before="60" w:after="60"/>
            </w:pPr>
            <w:r>
              <w:rPr>
                <w:sz w:val="20"/>
              </w:rPr>
              <w:t>970</w:t>
            </w:r>
          </w:p>
        </w:tc>
        <w:tc>
          <w:tcPr>
            <w:tcW w:type="dxa" w:w="1417"/>
            <w:shd w:val="clear" w:color="auto" w:fill="F2F8F7"/>
          </w:tcPr>
          <w:p>
            <w:pPr>
              <w:spacing w:before="60" w:after="60"/>
            </w:pPr>
            <w:r>
              <w:rPr>
                <w:sz w:val="20"/>
              </w:rPr>
              <w:t>897.5</w:t>
            </w:r>
          </w:p>
        </w:tc>
        <w:tc>
          <w:tcPr>
            <w:tcW w:type="dxa" w:w="1020"/>
            <w:shd w:val="clear" w:color="auto" w:fill="F2F8F7"/>
          </w:tcPr>
          <w:p>
            <w:pPr>
              <w:spacing w:before="60" w:after="60"/>
            </w:pPr>
            <w:r>
              <w:rPr>
                <w:sz w:val="20"/>
              </w:rPr>
              <w:t>0%</w:t>
            </w:r>
          </w:p>
        </w:tc>
        <w:tc>
          <w:tcPr>
            <w:tcW w:type="dxa" w:w="1701"/>
            <w:shd w:val="clear" w:color="auto" w:fill="F2F8F7"/>
          </w:tcPr>
          <w:p>
            <w:pPr>
              <w:spacing w:before="60" w:after="60"/>
            </w:pPr>
            <w:r>
              <w:rPr>
                <w:sz w:val="20"/>
              </w:rPr>
              <w:t>✓ Action Required</w:t>
            </w:r>
          </w:p>
        </w:tc>
      </w:tr>
      <w:tr>
        <w:tc>
          <w:tcPr>
            <w:tcW w:type="dxa" w:w="2551"/>
            <w:shd w:val="clear" w:color="auto" w:fill="FFFFFF"/>
          </w:tcPr>
          <w:p>
            <w:pPr>
              <w:spacing w:before="60" w:after="60"/>
            </w:pPr>
            <w:r>
              <w:rPr>
                <w:sz w:val="20"/>
              </w:rPr>
              <w:t>pH</w:t>
            </w:r>
          </w:p>
        </w:tc>
        <w:tc>
          <w:tcPr>
            <w:tcW w:type="dxa" w:w="1417"/>
            <w:shd w:val="clear" w:color="auto" w:fill="FFFFFF"/>
          </w:tcPr>
          <w:p>
            <w:pPr>
              <w:spacing w:before="60" w:after="60"/>
            </w:pPr>
            <w:r>
              <w:rPr>
                <w:sz w:val="20"/>
              </w:rPr>
              <w:t>ACM Skid</w:t>
            </w:r>
          </w:p>
        </w:tc>
        <w:tc>
          <w:tcPr>
            <w:tcW w:type="dxa" w:w="1020"/>
            <w:shd w:val="clear" w:color="auto" w:fill="FFFFFF"/>
          </w:tcPr>
          <w:p>
            <w:pPr>
              <w:spacing w:before="60" w:after="60"/>
            </w:pPr>
            <w:r>
              <w:rPr>
                <w:sz w:val="20"/>
              </w:rPr>
              <w:t>7.50</w:t>
            </w:r>
          </w:p>
        </w:tc>
        <w:tc>
          <w:tcPr>
            <w:tcW w:type="dxa" w:w="1020"/>
            <w:shd w:val="clear" w:color="auto" w:fill="FFFFFF"/>
          </w:tcPr>
          <w:p>
            <w:pPr>
              <w:spacing w:before="60" w:after="60"/>
            </w:pPr>
            <w:r>
              <w:rPr>
                <w:sz w:val="20"/>
              </w:rPr>
              <w:t>10.00</w:t>
            </w:r>
          </w:p>
        </w:tc>
        <w:tc>
          <w:tcPr>
            <w:tcW w:type="dxa" w:w="1417"/>
            <w:shd w:val="clear" w:color="auto" w:fill="FFFFFF"/>
          </w:tcPr>
          <w:p>
            <w:pPr>
              <w:spacing w:before="60" w:after="60"/>
            </w:pPr>
            <w:r>
              <w:rPr>
                <w:sz w:val="20"/>
              </w:rPr>
              <w:t>8.4</w:t>
            </w:r>
          </w:p>
        </w:tc>
        <w:tc>
          <w:tcPr>
            <w:tcW w:type="dxa" w:w="1020"/>
            <w:shd w:val="clear" w:color="auto" w:fill="FFFFFF"/>
          </w:tcPr>
          <w:p>
            <w:pPr>
              <w:spacing w:before="60" w:after="60"/>
            </w:pPr>
            <w:r>
              <w:rPr>
                <w:sz w:val="20"/>
              </w:rPr>
              <w:t>–</w:t>
            </w:r>
          </w:p>
        </w:tc>
        <w:tc>
          <w:tcPr>
            <w:tcW w:type="dxa" w:w="1701"/>
            <w:shd w:val="clear" w:color="auto" w:fill="FFFFFF"/>
          </w:tcPr>
          <w:p>
            <w:pPr>
              <w:spacing w:before="60" w:after="60"/>
            </w:pPr>
            <w:r>
              <w:rPr>
                <w:sz w:val="20"/>
              </w:rPr>
              <w:t>ℹ Informational</w:t>
            </w:r>
          </w:p>
        </w:tc>
      </w:tr>
      <w:tr>
        <w:tc>
          <w:tcPr>
            <w:tcW w:type="dxa" w:w="2551"/>
            <w:shd w:val="clear" w:color="auto" w:fill="F2F8F7"/>
          </w:tcPr>
          <w:p>
            <w:pPr>
              <w:spacing w:before="60" w:after="60"/>
            </w:pPr>
            <w:r>
              <w:rPr>
                <w:sz w:val="20"/>
              </w:rPr>
              <w:t>ORP</w:t>
            </w:r>
          </w:p>
        </w:tc>
        <w:tc>
          <w:tcPr>
            <w:tcW w:type="dxa" w:w="1417"/>
            <w:shd w:val="clear" w:color="auto" w:fill="F2F8F7"/>
          </w:tcPr>
          <w:p>
            <w:pPr>
              <w:spacing w:before="60" w:after="60"/>
            </w:pPr>
            <w:r>
              <w:rPr>
                <w:sz w:val="20"/>
              </w:rPr>
              <w:t>ACM Skid</w:t>
            </w:r>
          </w:p>
        </w:tc>
        <w:tc>
          <w:tcPr>
            <w:tcW w:type="dxa" w:w="1020"/>
            <w:shd w:val="clear" w:color="auto" w:fill="F2F8F7"/>
          </w:tcPr>
          <w:p>
            <w:pPr>
              <w:spacing w:before="60" w:after="60"/>
            </w:pPr>
            <w:r>
              <w:rPr>
                <w:sz w:val="20"/>
              </w:rPr>
              <w:t>–</w:t>
            </w:r>
          </w:p>
        </w:tc>
        <w:tc>
          <w:tcPr>
            <w:tcW w:type="dxa" w:w="1020"/>
            <w:shd w:val="clear" w:color="auto" w:fill="F2F8F7"/>
          </w:tcPr>
          <w:p>
            <w:pPr>
              <w:spacing w:before="60" w:after="60"/>
            </w:pPr>
            <w:r>
              <w:rPr>
                <w:sz w:val="20"/>
              </w:rPr>
              <w:t>–</w:t>
            </w:r>
          </w:p>
        </w:tc>
        <w:tc>
          <w:tcPr>
            <w:tcW w:type="dxa" w:w="1417"/>
            <w:shd w:val="clear" w:color="auto" w:fill="F2F8F7"/>
          </w:tcPr>
          <w:p>
            <w:pPr>
              <w:spacing w:before="60" w:after="60"/>
            </w:pPr>
            <w:r>
              <w:rPr>
                <w:sz w:val="20"/>
              </w:rPr>
              <w:t>Not reported</w:t>
            </w:r>
          </w:p>
        </w:tc>
        <w:tc>
          <w:tcPr>
            <w:tcW w:type="dxa" w:w="1020"/>
            <w:shd w:val="clear" w:color="auto" w:fill="F2F8F7"/>
          </w:tcPr>
          <w:p>
            <w:pPr>
              <w:spacing w:before="60" w:after="60"/>
            </w:pPr>
            <w:r>
              <w:rPr>
                <w:sz w:val="20"/>
              </w:rPr>
              <w:t>–</w:t>
            </w:r>
          </w:p>
        </w:tc>
        <w:tc>
          <w:tcPr>
            <w:tcW w:type="dxa" w:w="1701"/>
            <w:shd w:val="clear" w:color="auto" w:fill="F2F8F7"/>
          </w:tcPr>
          <w:p>
            <w:pPr>
              <w:spacing w:before="60" w:after="60"/>
            </w:pPr>
            <w:r>
              <w:rPr>
                <w:sz w:val="20"/>
              </w:rPr>
              <w:t>See Microbial Control</w:t>
            </w:r>
          </w:p>
        </w:tc>
      </w:tr>
      <w:tr>
        <w:tc>
          <w:tcPr>
            <w:tcW w:type="dxa" w:w="2551"/>
            <w:shd w:val="clear" w:color="auto" w:fill="FFFFFF"/>
          </w:tcPr>
          <w:p>
            <w:pPr>
              <w:spacing w:before="60" w:after="60"/>
            </w:pPr>
            <w:r>
              <w:rPr>
                <w:sz w:val="20"/>
              </w:rPr>
              <w:t>Turbidity (NTU)</w:t>
            </w:r>
          </w:p>
        </w:tc>
        <w:tc>
          <w:tcPr>
            <w:tcW w:type="dxa" w:w="1417"/>
            <w:shd w:val="clear" w:color="auto" w:fill="FFFFFF"/>
          </w:tcPr>
          <w:p>
            <w:pPr>
              <w:spacing w:before="60" w:after="60"/>
            </w:pPr>
            <w:r>
              <w:rPr>
                <w:sz w:val="20"/>
              </w:rPr>
              <w:t>ACM Skid</w:t>
            </w:r>
          </w:p>
        </w:tc>
        <w:tc>
          <w:tcPr>
            <w:tcW w:type="dxa" w:w="1020"/>
            <w:shd w:val="clear" w:color="auto" w:fill="FFFFFF"/>
          </w:tcPr>
          <w:p>
            <w:pPr>
              <w:spacing w:before="60" w:after="60"/>
            </w:pPr>
            <w:r>
              <w:rPr>
                <w:sz w:val="20"/>
              </w:rPr>
              <w:t>–</w:t>
            </w:r>
          </w:p>
        </w:tc>
        <w:tc>
          <w:tcPr>
            <w:tcW w:type="dxa" w:w="1020"/>
            <w:shd w:val="clear" w:color="auto" w:fill="FFFFFF"/>
          </w:tcPr>
          <w:p>
            <w:pPr>
              <w:spacing w:before="60" w:after="60"/>
            </w:pPr>
            <w:r>
              <w:rPr>
                <w:sz w:val="20"/>
              </w:rPr>
              <w:t>75.0</w:t>
            </w:r>
          </w:p>
        </w:tc>
        <w:tc>
          <w:tcPr>
            <w:tcW w:type="dxa" w:w="1417"/>
            <w:shd w:val="clear" w:color="auto" w:fill="FFFFFF"/>
          </w:tcPr>
          <w:p>
            <w:pPr>
              <w:spacing w:before="60" w:after="60"/>
            </w:pPr>
            <w:r>
              <w:rPr>
                <w:sz w:val="20"/>
              </w:rPr>
              <w:t>2.3</w:t>
            </w:r>
          </w:p>
        </w:tc>
        <w:tc>
          <w:tcPr>
            <w:tcW w:type="dxa" w:w="1020"/>
            <w:shd w:val="clear" w:color="auto" w:fill="FFFFFF"/>
          </w:tcPr>
          <w:p>
            <w:pPr>
              <w:spacing w:before="60" w:after="60"/>
            </w:pPr>
            <w:r>
              <w:rPr>
                <w:sz w:val="20"/>
              </w:rPr>
              <w:t>–</w:t>
            </w:r>
          </w:p>
        </w:tc>
        <w:tc>
          <w:tcPr>
            <w:tcW w:type="dxa" w:w="1701"/>
            <w:shd w:val="clear" w:color="auto" w:fill="FFFFFF"/>
          </w:tcPr>
          <w:p>
            <w:pPr>
              <w:spacing w:before="60" w:after="60"/>
            </w:pPr>
            <w:r>
              <w:rPr>
                <w:sz w:val="20"/>
              </w:rPr>
              <w:t>ℹ Informational</w:t>
            </w:r>
          </w:p>
        </w:tc>
      </w:tr>
      <w:tr>
        <w:tc>
          <w:tcPr>
            <w:tcW w:type="dxa" w:w="2551"/>
            <w:shd w:val="clear" w:color="auto" w:fill="F2F8F7"/>
          </w:tcPr>
          <w:p>
            <w:pPr>
              <w:spacing w:before="60" w:after="60"/>
            </w:pPr>
            <w:r>
              <w:rPr>
                <w:sz w:val="20"/>
              </w:rPr>
              <w:t>Cell Fouling (%)</w:t>
            </w:r>
          </w:p>
        </w:tc>
        <w:tc>
          <w:tcPr>
            <w:tcW w:type="dxa" w:w="1417"/>
            <w:shd w:val="clear" w:color="auto" w:fill="F2F8F7"/>
          </w:tcPr>
          <w:p>
            <w:pPr>
              <w:spacing w:before="60" w:after="60"/>
            </w:pPr>
            <w:r>
              <w:rPr>
                <w:sz w:val="20"/>
              </w:rPr>
              <w:t>ACM Skid</w:t>
            </w:r>
          </w:p>
        </w:tc>
        <w:tc>
          <w:tcPr>
            <w:tcW w:type="dxa" w:w="1020"/>
            <w:shd w:val="clear" w:color="auto" w:fill="F2F8F7"/>
          </w:tcPr>
          <w:p>
            <w:pPr>
              <w:spacing w:before="60" w:after="60"/>
            </w:pPr>
            <w:r>
              <w:rPr>
                <w:sz w:val="20"/>
              </w:rPr>
              <w:t>–</w:t>
            </w:r>
          </w:p>
        </w:tc>
        <w:tc>
          <w:tcPr>
            <w:tcW w:type="dxa" w:w="1020"/>
            <w:shd w:val="clear" w:color="auto" w:fill="F2F8F7"/>
          </w:tcPr>
          <w:p>
            <w:pPr>
              <w:spacing w:before="60" w:after="60"/>
            </w:pPr>
            <w:r>
              <w:rPr>
                <w:sz w:val="20"/>
              </w:rPr>
              <w:t>30.0</w:t>
            </w:r>
          </w:p>
        </w:tc>
        <w:tc>
          <w:tcPr>
            <w:tcW w:type="dxa" w:w="1417"/>
            <w:shd w:val="clear" w:color="auto" w:fill="F2F8F7"/>
          </w:tcPr>
          <w:p>
            <w:pPr>
              <w:spacing w:before="60" w:after="60"/>
            </w:pPr>
            <w:r>
              <w:rPr>
                <w:sz w:val="20"/>
              </w:rPr>
              <w:t>10.7</w:t>
            </w:r>
          </w:p>
        </w:tc>
        <w:tc>
          <w:tcPr>
            <w:tcW w:type="dxa" w:w="1020"/>
            <w:shd w:val="clear" w:color="auto" w:fill="F2F8F7"/>
          </w:tcPr>
          <w:p>
            <w:pPr>
              <w:spacing w:before="60" w:after="60"/>
            </w:pPr>
            <w:r>
              <w:rPr>
                <w:sz w:val="20"/>
              </w:rPr>
              <w:t>–</w:t>
            </w:r>
          </w:p>
        </w:tc>
        <w:tc>
          <w:tcPr>
            <w:tcW w:type="dxa" w:w="1701"/>
            <w:shd w:val="clear" w:color="auto" w:fill="F2F8F7"/>
          </w:tcPr>
          <w:p>
            <w:pPr>
              <w:spacing w:before="60" w:after="60"/>
            </w:pPr>
            <w:r>
              <w:rPr>
                <w:sz w:val="20"/>
              </w:rPr>
              <w:t>ℹ Informational</w:t>
            </w:r>
          </w:p>
        </w:tc>
      </w:tr>
      <w:tr>
        <w:tc>
          <w:tcPr>
            <w:tcW w:type="dxa" w:w="2551"/>
            <w:shd w:val="clear" w:color="auto" w:fill="FFFFFF"/>
          </w:tcPr>
          <w:p>
            <w:pPr>
              <w:spacing w:before="60" w:after="60"/>
            </w:pPr>
            <w:r>
              <w:rPr>
                <w:sz w:val="20"/>
              </w:rPr>
              <w:t>FRC</w:t>
            </w:r>
          </w:p>
        </w:tc>
        <w:tc>
          <w:tcPr>
            <w:tcW w:type="dxa" w:w="1417"/>
            <w:shd w:val="clear" w:color="auto" w:fill="FFFFFF"/>
          </w:tcPr>
          <w:p>
            <w:pPr>
              <w:spacing w:before="60" w:after="60"/>
            </w:pPr>
            <w:r>
              <w:rPr>
                <w:sz w:val="20"/>
              </w:rPr>
              <w:t>ADE/MDE</w:t>
            </w:r>
          </w:p>
        </w:tc>
        <w:tc>
          <w:tcPr>
            <w:tcW w:type="dxa" w:w="1020"/>
            <w:shd w:val="clear" w:color="auto" w:fill="FFFFFF"/>
          </w:tcPr>
          <w:p>
            <w:pPr>
              <w:spacing w:before="60" w:after="60"/>
            </w:pPr>
            <w:r>
              <w:rPr>
                <w:sz w:val="20"/>
              </w:rPr>
              <w:t>–</w:t>
            </w:r>
          </w:p>
        </w:tc>
        <w:tc>
          <w:tcPr>
            <w:tcW w:type="dxa" w:w="1020"/>
            <w:shd w:val="clear" w:color="auto" w:fill="FFFFFF"/>
          </w:tcPr>
          <w:p>
            <w:pPr>
              <w:spacing w:before="60" w:after="60"/>
            </w:pPr>
            <w:r>
              <w:rPr>
                <w:sz w:val="20"/>
              </w:rPr>
              <w:t>–</w:t>
            </w:r>
          </w:p>
        </w:tc>
        <w:tc>
          <w:tcPr>
            <w:tcW w:type="dxa" w:w="1417"/>
            <w:shd w:val="clear" w:color="auto" w:fill="FFFFFF"/>
          </w:tcPr>
          <w:p>
            <w:pPr>
              <w:spacing w:before="60" w:after="60"/>
            </w:pPr>
            <w:r>
              <w:rPr>
                <w:sz w:val="20"/>
              </w:rPr>
              <w:t>Not available</w:t>
            </w:r>
          </w:p>
        </w:tc>
        <w:tc>
          <w:tcPr>
            <w:tcW w:type="dxa" w:w="1020"/>
            <w:shd w:val="clear" w:color="auto" w:fill="FFFFFF"/>
          </w:tcPr>
          <w:p>
            <w:pPr>
              <w:spacing w:before="60" w:after="60"/>
            </w:pPr>
            <w:r>
              <w:rPr>
                <w:sz w:val="20"/>
              </w:rPr>
              <w:t>–</w:t>
            </w:r>
          </w:p>
        </w:tc>
        <w:tc>
          <w:tcPr>
            <w:tcW w:type="dxa" w:w="1701"/>
            <w:shd w:val="clear" w:color="auto" w:fill="FFFFFF"/>
          </w:tcPr>
          <w:p>
            <w:pPr>
              <w:spacing w:before="60" w:after="60"/>
            </w:pPr>
            <w:r>
              <w:rPr>
                <w:sz w:val="20"/>
              </w:rPr>
              <w:t>⚠ Check next visit</w:t>
            </w:r>
          </w:p>
        </w:tc>
      </w:tr>
      <w:tr>
        <w:tc>
          <w:tcPr>
            <w:tcW w:type="dxa" w:w="2551"/>
            <w:shd w:val="clear" w:color="auto" w:fill="F2F8F7"/>
          </w:tcPr>
          <w:p>
            <w:pPr>
              <w:spacing w:before="60" w:after="60"/>
            </w:pPr>
            <w:r>
              <w:rPr>
                <w:sz w:val="20"/>
              </w:rPr>
              <w:t>Service Notes</w:t>
            </w:r>
          </w:p>
        </w:tc>
        <w:tc>
          <w:tcPr>
            <w:tcW w:type="dxa" w:w="1417"/>
            <w:shd w:val="clear" w:color="auto" w:fill="F2F8F7"/>
          </w:tcPr>
          <w:p>
            <w:pPr>
              <w:spacing w:before="60" w:after="60"/>
            </w:pPr>
            <w:r>
              <w:rPr>
                <w:sz w:val="20"/>
              </w:rPr>
              <w:t>N/A</w:t>
            </w:r>
          </w:p>
        </w:tc>
        <w:tc>
          <w:tcPr>
            <w:tcW w:type="dxa" w:w="1020"/>
            <w:shd w:val="clear" w:color="auto" w:fill="F2F8F7"/>
          </w:tcPr>
          <w:p>
            <w:pPr>
              <w:spacing w:before="60" w:after="60"/>
            </w:pPr>
            <w:r>
              <w:rPr>
                <w:sz w:val="20"/>
              </w:rPr>
              <w:t>–</w:t>
            </w:r>
          </w:p>
        </w:tc>
        <w:tc>
          <w:tcPr>
            <w:tcW w:type="dxa" w:w="1020"/>
            <w:shd w:val="clear" w:color="auto" w:fill="F2F8F7"/>
          </w:tcPr>
          <w:p>
            <w:pPr>
              <w:spacing w:before="60" w:after="60"/>
            </w:pPr>
            <w:r>
              <w:rPr>
                <w:sz w:val="20"/>
              </w:rPr>
              <w:t>–</w:t>
            </w:r>
          </w:p>
        </w:tc>
        <w:tc>
          <w:tcPr>
            <w:tcW w:type="dxa" w:w="1417"/>
            <w:shd w:val="clear" w:color="auto" w:fill="F2F8F7"/>
          </w:tcPr>
          <w:p>
            <w:pPr>
              <w:spacing w:before="60" w:after="60"/>
            </w:pPr>
            <w:r>
              <w:rPr>
                <w:sz w:val="20"/>
              </w:rPr>
              <w:t>None documented</w:t>
            </w:r>
          </w:p>
        </w:tc>
        <w:tc>
          <w:tcPr>
            <w:tcW w:type="dxa" w:w="1020"/>
            <w:shd w:val="clear" w:color="auto" w:fill="F2F8F7"/>
          </w:tcPr>
          <w:p>
            <w:pPr>
              <w:spacing w:before="60" w:after="60"/>
            </w:pPr>
            <w:r>
              <w:rPr>
                <w:sz w:val="20"/>
              </w:rPr>
              <w:t>–</w:t>
            </w:r>
          </w:p>
        </w:tc>
        <w:tc>
          <w:tcPr>
            <w:tcW w:type="dxa" w:w="1701"/>
            <w:shd w:val="clear" w:color="auto" w:fill="F2F8F7"/>
          </w:tcPr>
          <w:p>
            <w:pPr>
              <w:spacing w:before="60" w:after="60"/>
            </w:pPr>
            <w:r>
              <w:rPr>
                <w:sz w:val="20"/>
              </w:rPr>
              <w:t>ℹ No actions available</w:t>
            </w:r>
          </w:p>
        </w:tc>
      </w:tr>
    </w:tbl>
    <w:p/>
    <w:p>
      <w:r>
        <w:br w:type="page"/>
      </w:r>
    </w:p>
    <w:p>
      <w:pPr>
        <w:pBdr>
          <w:bottom w:val="single" w:sz="8" w:space="4" w:color="00857C"/>
        </w:pBdr>
        <w:spacing w:before="240" w:after="80"/>
      </w:pPr>
      <w:r>
        <w:rPr>
          <w:b/>
          <w:color w:val="00857C"/>
          <w:sz w:val="36"/>
        </w:rPr>
        <w:t>Final Release Approval Checklist</w:t>
      </w:r>
    </w:p>
    <w:tbl>
      <w:tblPr>
        <w:tblStyle w:val="TableGrid"/>
        <w:tblW w:type="auto" w:w="0"/>
        <w:tblLook w:firstColumn="1" w:firstRow="1" w:lastColumn="0" w:lastRow="0" w:noHBand="0" w:noVBand="1" w:val="04A0"/>
      </w:tblPr>
      <w:tblGrid>
        <w:gridCol w:w="5043"/>
        <w:gridCol w:w="5043"/>
      </w:tblGrid>
      <w:tr>
        <w:trPr>
          <w:trHeight w:val="400"/>
        </w:trPr>
        <w:tc>
          <w:tcPr>
            <w:tcW w:type="dxa" w:w="6803"/>
            <w:shd w:val="clear" w:color="auto" w:fill="00857C"/>
          </w:tcPr>
          <w:p>
            <w:pPr>
              <w:spacing w:before="60" w:after="60"/>
            </w:pPr>
            <w:r>
              <w:rPr>
                <w:b/>
                <w:color w:val="FFFFFF"/>
                <w:sz w:val="20"/>
              </w:rPr>
              <w:t>Review Item</w:t>
            </w:r>
          </w:p>
        </w:tc>
        <w:tc>
          <w:tcPr>
            <w:tcW w:type="dxa" w:w="2835"/>
            <w:shd w:val="clear" w:color="auto" w:fill="00857C"/>
          </w:tcPr>
          <w:p>
            <w:pPr>
              <w:spacing w:before="60" w:after="60"/>
            </w:pPr>
            <w:r>
              <w:rPr>
                <w:b/>
                <w:color w:val="FFFFFF"/>
                <w:sz w:val="20"/>
              </w:rPr>
              <w:t>Result</w:t>
            </w:r>
          </w:p>
        </w:tc>
      </w:tr>
      <w:tr>
        <w:tc>
          <w:tcPr>
            <w:tcW w:type="dxa" w:w="6803"/>
            <w:shd w:val="clear" w:color="auto" w:fill="FFFFFF"/>
          </w:tcPr>
          <w:p>
            <w:pPr>
              <w:spacing w:before="60" w:after="60"/>
            </w:pPr>
            <w:r>
              <w:rPr>
                <w:sz w:val="20"/>
              </w:rPr>
              <w:t>Report is 8 pages or less</w:t>
            </w:r>
          </w:p>
        </w:tc>
        <w:tc>
          <w:tcPr>
            <w:tcW w:type="dxa" w:w="2835"/>
            <w:shd w:val="clear" w:color="auto" w:fill="FFFFFF"/>
          </w:tcPr>
          <w:p>
            <w:pPr>
              <w:spacing w:before="60" w:after="60"/>
            </w:pPr>
            <w:r>
              <w:rPr>
                <w:sz w:val="20"/>
              </w:rPr>
              <w:t>✓ Complete</w:t>
            </w:r>
          </w:p>
        </w:tc>
      </w:tr>
      <w:tr>
        <w:tc>
          <w:tcPr>
            <w:tcW w:type="dxa" w:w="6803"/>
            <w:shd w:val="clear" w:color="auto" w:fill="F2F8F7"/>
          </w:tcPr>
          <w:p>
            <w:pPr>
              <w:spacing w:before="60" w:after="60"/>
            </w:pPr>
            <w:r>
              <w:rPr>
                <w:sz w:val="20"/>
              </w:rPr>
              <w:t>Page 1 is title page with all metadata</w:t>
            </w:r>
          </w:p>
        </w:tc>
        <w:tc>
          <w:tcPr>
            <w:tcW w:type="dxa" w:w="2835"/>
            <w:shd w:val="clear" w:color="auto" w:fill="F2F8F7"/>
          </w:tcPr>
          <w:p>
            <w:pPr>
              <w:spacing w:before="60" w:after="60"/>
            </w:pPr>
            <w:r>
              <w:rPr>
                <w:sz w:val="20"/>
              </w:rPr>
              <w:t>✓ Complete</w:t>
            </w:r>
          </w:p>
        </w:tc>
      </w:tr>
      <w:tr>
        <w:tc>
          <w:tcPr>
            <w:tcW w:type="dxa" w:w="6803"/>
            <w:shd w:val="clear" w:color="auto" w:fill="FFFFFF"/>
          </w:tcPr>
          <w:p>
            <w:pPr>
              <w:spacing w:before="60" w:after="60"/>
            </w:pPr>
            <w:r>
              <w:rPr>
                <w:sz w:val="20"/>
              </w:rPr>
              <w:t>Corrosion uses exact wording 'against the target of within'</w:t>
            </w:r>
          </w:p>
        </w:tc>
        <w:tc>
          <w:tcPr>
            <w:tcW w:type="dxa" w:w="2835"/>
            <w:shd w:val="clear" w:color="auto" w:fill="FFFFFF"/>
          </w:tcPr>
          <w:p>
            <w:pPr>
              <w:spacing w:before="60" w:after="60"/>
            </w:pPr>
            <w:r>
              <w:rPr>
                <w:sz w:val="20"/>
              </w:rPr>
              <w:t>✓ Complete</w:t>
            </w:r>
          </w:p>
        </w:tc>
      </w:tr>
      <w:tr>
        <w:tc>
          <w:tcPr>
            <w:tcW w:type="dxa" w:w="6803"/>
            <w:shd w:val="clear" w:color="auto" w:fill="F2F8F7"/>
          </w:tcPr>
          <w:p>
            <w:pPr>
              <w:spacing w:before="60" w:after="60"/>
            </w:pPr>
            <w:r>
              <w:rPr>
                <w:sz w:val="20"/>
              </w:rPr>
              <w:t>Scale Control covers Traced Product only</w:t>
            </w:r>
          </w:p>
        </w:tc>
        <w:tc>
          <w:tcPr>
            <w:tcW w:type="dxa" w:w="2835"/>
            <w:shd w:val="clear" w:color="auto" w:fill="F2F8F7"/>
          </w:tcPr>
          <w:p>
            <w:pPr>
              <w:spacing w:before="60" w:after="60"/>
            </w:pPr>
            <w:r>
              <w:rPr>
                <w:sz w:val="20"/>
              </w:rPr>
              <w:t>✓ Complete</w:t>
            </w:r>
          </w:p>
        </w:tc>
      </w:tr>
      <w:tr>
        <w:tc>
          <w:tcPr>
            <w:tcW w:type="dxa" w:w="6803"/>
            <w:shd w:val="clear" w:color="auto" w:fill="FFFFFF"/>
          </w:tcPr>
          <w:p>
            <w:pPr>
              <w:spacing w:before="60" w:after="60"/>
            </w:pPr>
            <w:r>
              <w:rPr>
                <w:sz w:val="20"/>
              </w:rPr>
              <w:t>Scale Control status reflects % in range from recent_20</w:t>
            </w:r>
          </w:p>
        </w:tc>
        <w:tc>
          <w:tcPr>
            <w:tcW w:type="dxa" w:w="2835"/>
            <w:shd w:val="clear" w:color="auto" w:fill="FFFFFF"/>
          </w:tcPr>
          <w:p>
            <w:pPr>
              <w:spacing w:before="60" w:after="60"/>
            </w:pPr>
            <w:r>
              <w:rPr>
                <w:sz w:val="20"/>
              </w:rPr>
              <w:t>✓ Complete</w:t>
            </w:r>
          </w:p>
        </w:tc>
      </w:tr>
      <w:tr>
        <w:tc>
          <w:tcPr>
            <w:tcW w:type="dxa" w:w="6803"/>
            <w:shd w:val="clear" w:color="auto" w:fill="F2F8F7"/>
          </w:tcPr>
          <w:p>
            <w:pPr>
              <w:spacing w:before="60" w:after="60"/>
            </w:pPr>
            <w:r>
              <w:rPr>
                <w:sz w:val="20"/>
              </w:rPr>
              <w:t>Scale Control includes Observation + Recommendation if product out of range</w:t>
            </w:r>
          </w:p>
        </w:tc>
        <w:tc>
          <w:tcPr>
            <w:tcW w:type="dxa" w:w="2835"/>
            <w:shd w:val="clear" w:color="auto" w:fill="F2F8F7"/>
          </w:tcPr>
          <w:p>
            <w:pPr>
              <w:spacing w:before="60" w:after="60"/>
            </w:pPr>
            <w:r>
              <w:rPr>
                <w:sz w:val="20"/>
              </w:rPr>
              <w:t>✓ Complete</w:t>
            </w:r>
          </w:p>
        </w:tc>
      </w:tr>
      <w:tr>
        <w:tc>
          <w:tcPr>
            <w:tcW w:type="dxa" w:w="6803"/>
            <w:shd w:val="clear" w:color="auto" w:fill="FFFFFF"/>
          </w:tcPr>
          <w:p>
            <w:pPr>
              <w:spacing w:before="60" w:after="60"/>
            </w:pPr>
            <w:r>
              <w:rPr>
                <w:sz w:val="20"/>
              </w:rPr>
              <w:t>Microbial Control covers FRC and ORP only</w:t>
            </w:r>
          </w:p>
        </w:tc>
        <w:tc>
          <w:tcPr>
            <w:tcW w:type="dxa" w:w="2835"/>
            <w:shd w:val="clear" w:color="auto" w:fill="FFFFFF"/>
          </w:tcPr>
          <w:p>
            <w:pPr>
              <w:spacing w:before="60" w:after="60"/>
            </w:pPr>
            <w:r>
              <w:rPr>
                <w:sz w:val="20"/>
              </w:rPr>
              <w:t>✓ Complete</w:t>
            </w:r>
          </w:p>
        </w:tc>
      </w:tr>
      <w:tr>
        <w:tc>
          <w:tcPr>
            <w:tcW w:type="dxa" w:w="6803"/>
            <w:shd w:val="clear" w:color="auto" w:fill="F2F8F7"/>
          </w:tcPr>
          <w:p>
            <w:pPr>
              <w:spacing w:before="60" w:after="60"/>
            </w:pPr>
            <w:r>
              <w:rPr>
                <w:sz w:val="20"/>
              </w:rPr>
              <w:t>FRC sourced from ADE data only</w:t>
            </w:r>
          </w:p>
        </w:tc>
        <w:tc>
          <w:tcPr>
            <w:tcW w:type="dxa" w:w="2835"/>
            <w:shd w:val="clear" w:color="auto" w:fill="F2F8F7"/>
          </w:tcPr>
          <w:p>
            <w:pPr>
              <w:spacing w:before="60" w:after="60"/>
            </w:pPr>
            <w:r>
              <w:rPr>
                <w:sz w:val="20"/>
              </w:rPr>
              <w:t>✓ Complete</w:t>
            </w:r>
          </w:p>
        </w:tc>
      </w:tr>
      <w:tr>
        <w:tc>
          <w:tcPr>
            <w:tcW w:type="dxa" w:w="6803"/>
            <w:shd w:val="clear" w:color="auto" w:fill="FFFFFF"/>
          </w:tcPr>
          <w:p>
            <w:pPr>
              <w:spacing w:before="60" w:after="60"/>
            </w:pPr>
            <w:r>
              <w:rPr>
                <w:sz w:val="20"/>
              </w:rPr>
              <w:t>FRC noted as missing if not in ADE data</w:t>
            </w:r>
          </w:p>
        </w:tc>
        <w:tc>
          <w:tcPr>
            <w:tcW w:type="dxa" w:w="2835"/>
            <w:shd w:val="clear" w:color="auto" w:fill="FFFFFF"/>
          </w:tcPr>
          <w:p>
            <w:pPr>
              <w:spacing w:before="60" w:after="60"/>
            </w:pPr>
            <w:r>
              <w:rPr>
                <w:sz w:val="20"/>
              </w:rPr>
              <w:t>✓ Complete</w:t>
            </w:r>
          </w:p>
        </w:tc>
      </w:tr>
      <w:tr>
        <w:tc>
          <w:tcPr>
            <w:tcW w:type="dxa" w:w="6803"/>
            <w:shd w:val="clear" w:color="auto" w:fill="F2F8F7"/>
          </w:tcPr>
          <w:p>
            <w:pPr>
              <w:spacing w:before="60" w:after="60"/>
            </w:pPr>
            <w:r>
              <w:rPr>
                <w:sz w:val="20"/>
              </w:rPr>
              <w:t>ORP spike comment included in Microbial Control</w:t>
            </w:r>
          </w:p>
        </w:tc>
        <w:tc>
          <w:tcPr>
            <w:tcW w:type="dxa" w:w="2835"/>
            <w:shd w:val="clear" w:color="auto" w:fill="F2F8F7"/>
          </w:tcPr>
          <w:p>
            <w:pPr>
              <w:spacing w:before="60" w:after="60"/>
            </w:pPr>
            <w:r>
              <w:rPr>
                <w:sz w:val="20"/>
              </w:rPr>
              <w:t>✓ Complete</w:t>
            </w:r>
          </w:p>
        </w:tc>
      </w:tr>
      <w:tr>
        <w:tc>
          <w:tcPr>
            <w:tcW w:type="dxa" w:w="6803"/>
            <w:shd w:val="clear" w:color="auto" w:fill="FFFFFF"/>
          </w:tcPr>
          <w:p>
            <w:pPr>
              <w:spacing w:before="60" w:after="60"/>
            </w:pPr>
            <w:r>
              <w:rPr>
                <w:sz w:val="20"/>
              </w:rPr>
              <w:t>No absolute ORP values anywhere</w:t>
            </w:r>
          </w:p>
        </w:tc>
        <w:tc>
          <w:tcPr>
            <w:tcW w:type="dxa" w:w="2835"/>
            <w:shd w:val="clear" w:color="auto" w:fill="FFFFFF"/>
          </w:tcPr>
          <w:p>
            <w:pPr>
              <w:spacing w:before="60" w:after="60"/>
            </w:pPr>
            <w:r>
              <w:rPr>
                <w:sz w:val="20"/>
              </w:rPr>
              <w:t>✓ Complete</w:t>
            </w:r>
          </w:p>
        </w:tc>
      </w:tr>
      <w:tr>
        <w:tc>
          <w:tcPr>
            <w:tcW w:type="dxa" w:w="6803"/>
            <w:shd w:val="clear" w:color="auto" w:fill="F2F8F7"/>
          </w:tcPr>
          <w:p>
            <w:pPr>
              <w:spacing w:before="60" w:after="60"/>
            </w:pPr>
            <w:r>
              <w:rPr>
                <w:sz w:val="20"/>
              </w:rPr>
              <w:t>Water Efficiency includes conductivity trend chart</w:t>
            </w:r>
          </w:p>
        </w:tc>
        <w:tc>
          <w:tcPr>
            <w:tcW w:type="dxa" w:w="2835"/>
            <w:shd w:val="clear" w:color="auto" w:fill="F2F8F7"/>
          </w:tcPr>
          <w:p>
            <w:pPr>
              <w:spacing w:before="60" w:after="60"/>
            </w:pPr>
            <w:r>
              <w:rPr>
                <w:sz w:val="20"/>
              </w:rPr>
              <w:t>✓ Complete</w:t>
            </w:r>
          </w:p>
        </w:tc>
      </w:tr>
      <w:tr>
        <w:tc>
          <w:tcPr>
            <w:tcW w:type="dxa" w:w="6803"/>
            <w:shd w:val="clear" w:color="auto" w:fill="FFFFFF"/>
          </w:tcPr>
          <w:p>
            <w:pPr>
              <w:spacing w:before="60" w:after="60"/>
            </w:pPr>
            <w:r>
              <w:rPr>
                <w:sz w:val="20"/>
              </w:rPr>
              <w:t>Product Efficiency uses SCC Product Name</w:t>
            </w:r>
          </w:p>
        </w:tc>
        <w:tc>
          <w:tcPr>
            <w:tcW w:type="dxa" w:w="2835"/>
            <w:shd w:val="clear" w:color="auto" w:fill="FFFFFF"/>
          </w:tcPr>
          <w:p>
            <w:pPr>
              <w:spacing w:before="60" w:after="60"/>
            </w:pPr>
            <w:r>
              <w:rPr>
                <w:sz w:val="20"/>
              </w:rPr>
              <w:t>✓ Complete</w:t>
            </w:r>
          </w:p>
        </w:tc>
      </w:tr>
      <w:tr>
        <w:tc>
          <w:tcPr>
            <w:tcW w:type="dxa" w:w="6803"/>
            <w:shd w:val="clear" w:color="auto" w:fill="F2F8F7"/>
          </w:tcPr>
          <w:p>
            <w:pPr>
              <w:spacing w:before="60" w:after="60"/>
            </w:pPr>
            <w:r>
              <w:rPr>
                <w:sz w:val="20"/>
              </w:rPr>
              <w:t>Proactive System Support (not 'Alarms')</w:t>
            </w:r>
          </w:p>
        </w:tc>
        <w:tc>
          <w:tcPr>
            <w:tcW w:type="dxa" w:w="2835"/>
            <w:shd w:val="clear" w:color="auto" w:fill="F2F8F7"/>
          </w:tcPr>
          <w:p>
            <w:pPr>
              <w:spacing w:before="60" w:after="60"/>
            </w:pPr>
            <w:r>
              <w:rPr>
                <w:sz w:val="20"/>
              </w:rPr>
              <w:t>✓ Complete</w:t>
            </w:r>
          </w:p>
        </w:tc>
      </w:tr>
      <w:tr>
        <w:tc>
          <w:tcPr>
            <w:tcW w:type="dxa" w:w="6803"/>
            <w:shd w:val="clear" w:color="auto" w:fill="FFFFFF"/>
          </w:tcPr>
          <w:p>
            <w:pPr>
              <w:spacing w:before="60" w:after="60"/>
            </w:pPr>
            <w:r>
              <w:rPr>
                <w:sz w:val="20"/>
              </w:rPr>
              <w:t>Page 4 Performance Summary table with SCC limits</w:t>
            </w:r>
          </w:p>
        </w:tc>
        <w:tc>
          <w:tcPr>
            <w:tcW w:type="dxa" w:w="2835"/>
            <w:shd w:val="clear" w:color="auto" w:fill="FFFFFF"/>
          </w:tcPr>
          <w:p>
            <w:pPr>
              <w:spacing w:before="60" w:after="60"/>
            </w:pPr>
            <w:r>
              <w:rPr>
                <w:sz w:val="20"/>
              </w:rPr>
              <w:t>✓ Complete</w:t>
            </w:r>
          </w:p>
        </w:tc>
      </w:tr>
      <w:tr>
        <w:tc>
          <w:tcPr>
            <w:tcW w:type="dxa" w:w="6803"/>
            <w:shd w:val="clear" w:color="auto" w:fill="F2F8F7"/>
          </w:tcPr>
          <w:p>
            <w:pPr>
              <w:spacing w:before="60" w:after="60"/>
            </w:pPr>
            <w:r>
              <w:rPr>
                <w:sz w:val="20"/>
              </w:rPr>
              <w:t>Charts included with Comments</w:t>
            </w:r>
          </w:p>
        </w:tc>
        <w:tc>
          <w:tcPr>
            <w:tcW w:type="dxa" w:w="2835"/>
            <w:shd w:val="clear" w:color="auto" w:fill="F2F8F7"/>
          </w:tcPr>
          <w:p>
            <w:pPr>
              <w:spacing w:before="60" w:after="60"/>
            </w:pPr>
            <w:r>
              <w:rPr>
                <w:sz w:val="20"/>
              </w:rPr>
              <w:t>✓ Complete — 4 charts</w:t>
            </w:r>
          </w:p>
        </w:tc>
      </w:tr>
      <w:tr>
        <w:tc>
          <w:tcPr>
            <w:tcW w:type="dxa" w:w="6803"/>
            <w:shd w:val="clear" w:color="auto" w:fill="FFFFFF"/>
          </w:tcPr>
          <w:p>
            <w:pPr>
              <w:spacing w:before="60" w:after="60"/>
            </w:pPr>
            <w:r>
              <w:rPr>
                <w:sz w:val="20"/>
              </w:rPr>
              <w:t>Charts are real graphs (not ASCII/tables)</w:t>
            </w:r>
          </w:p>
        </w:tc>
        <w:tc>
          <w:tcPr>
            <w:tcW w:type="dxa" w:w="2835"/>
            <w:shd w:val="clear" w:color="auto" w:fill="FFFFFF"/>
          </w:tcPr>
          <w:p>
            <w:pPr>
              <w:spacing w:before="60" w:after="60"/>
            </w:pPr>
            <w:r>
              <w:rPr>
                <w:sz w:val="20"/>
              </w:rPr>
              <w:t>✓ Complete — matplotlib</w:t>
            </w:r>
          </w:p>
        </w:tc>
      </w:tr>
    </w:tbl>
    <w:p/>
    <w:p>
      <w:pPr>
        <w:spacing w:before="160" w:after="120"/>
        <w:jc w:val="left"/>
      </w:pPr>
    </w:p>
    <w:p>
      <w:r>
        <w:rPr>
          <w:b/>
          <w:sz w:val="22"/>
        </w:rPr>
        <w:t xml:space="preserve">Release status: </w:t>
      </w:r>
      <w:r>
        <w:rPr>
          <w:b/>
          <w:color w:val="00857C"/>
          <w:sz w:val="22"/>
        </w:rPr>
        <w:t>Approved for draft delivery.</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666666"/>
        <w:sz w:val="16"/>
      </w:rPr>
      <w:t>Buckman  |  Flowserve US Raleigh NC (US)  |  May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