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St. Joseph's Hospital Savannah GA (US)</w:t>
      </w:r>
    </w:p>
    <w:p>
      <w:pPr>
        <w:spacing w:before="60" w:after="360"/>
        <w:jc w:val="center"/>
      </w:pPr>
      <w:r>
        <w:rPr>
          <w:b w:val="0"/>
          <w:i w:val="0"/>
          <w:color w:val="444444"/>
          <w:sz w:val="20"/>
        </w:rPr>
        <w:t>Reporting Month: May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St. Joseph's Hospital Savannah GA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84253FAB8CC5</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St. Joseph's Hospital Savannah GA (US), May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04 July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Good</w:t>
      </w:r>
    </w:p>
    <w:p>
      <w:pPr>
        <w:spacing w:before="80" w:after="120"/>
        <w:jc w:val="left"/>
      </w:pPr>
      <w:r>
        <w:rPr>
          <w:b w:val="0"/>
          <w:i w:val="0"/>
          <w:sz w:val="20"/>
        </w:rPr>
        <w:t>The average mild steel corrosion rate was 0.10 MPY against the target of within 3.0 MPY, and the average copper corrosion rate was 0.0474 MPY against the target of within 0.5 MPY. Corrosion control status was Good, with both metals remaining well within the expected control limits for the reporting period.</w:t>
      </w:r>
    </w:p>
    <w:p>
      <w:pPr>
        <w:spacing w:before="160" w:after="40"/>
      </w:pPr>
      <w:r>
        <w:rPr>
          <w:b/>
          <w:color w:val="222222"/>
          <w:sz w:val="22"/>
        </w:rPr>
        <w:t>Scale Control</w:t>
      </w:r>
    </w:p>
    <w:p>
      <w:pPr>
        <w:spacing w:before="60" w:after="100"/>
      </w:pPr>
      <w:r>
        <w:rPr>
          <w:b/>
          <w:sz w:val="20"/>
        </w:rPr>
        <w:t xml:space="preserve">Status: </w:t>
      </w:r>
      <w:r>
        <w:rPr>
          <w:b/>
          <w:color w:val="B8860B"/>
          <w:sz w:val="20"/>
        </w:rPr>
        <w:t>Stable</w:t>
      </w:r>
    </w:p>
    <w:p>
      <w:pPr>
        <w:spacing w:before="80" w:after="120"/>
        <w:jc w:val="left"/>
      </w:pPr>
      <w:r>
        <w:rPr>
          <w:b w:val="0"/>
          <w:i w:val="0"/>
          <w:sz w:val="20"/>
        </w:rPr>
        <w:t>Scale control status was Action Required because only 20.0% of recent Traced Product readings were within the Controller Setpoint range. The 90-day Traced Product mean was 44.5 ppm against the 40.9-45.1 ppm control range, indicating the product average was in range. Recent readings were frequently outside the control range even though the product direction was OK, so feed consistency and calibration should be reviewed. Conductivity was stable during the same period, indicating this is a product feed or calibration issue, not a water loss event.</w:t>
      </w:r>
    </w:p>
    <w:p>
      <w:pPr>
        <w:spacing w:before="160" w:after="40"/>
      </w:pPr>
      <w:r>
        <w:rPr>
          <w:b/>
          <w:color w:val="222222"/>
          <w:sz w:val="22"/>
        </w:rPr>
        <w:t>Microbial Control</w:t>
      </w:r>
    </w:p>
    <w:p>
      <w:pPr>
        <w:spacing w:before="60" w:after="100"/>
      </w:pPr>
      <w:r>
        <w:rPr>
          <w:b/>
          <w:sz w:val="20"/>
        </w:rPr>
        <w:t xml:space="preserve">Status: </w:t>
      </w:r>
      <w:r>
        <w:rPr>
          <w:b/>
          <w:color w:val="B8860B"/>
          <w:sz w:val="20"/>
        </w:rPr>
        <w:t>Stable</w:t>
      </w:r>
    </w:p>
    <w:p>
      <w:pPr>
        <w:spacing w:before="80" w:after="120"/>
        <w:jc w:val="left"/>
      </w:pPr>
      <w:r>
        <w:rPr>
          <w:b w:val="0"/>
          <w:i w:val="0"/>
          <w:sz w:val="20"/>
        </w:rPr>
        <w:t>FRC data was not available in the field test data for this reporting period and will be checked during the upcoming service visit. ORP spike response after timer-controlled biocide feed was consistent, indicating the system responded to treatment. Biocide pump activation was observed during the reporting period, supporting a Stable microbial control status.</w:t>
      </w:r>
    </w:p>
    <w:p>
      <w:pPr>
        <w:spacing w:before="200" w:after="60"/>
      </w:pPr>
      <w:r>
        <w:rPr>
          <w:b/>
          <w:color w:val="005F58"/>
          <w:sz w:val="26"/>
        </w:rPr>
        <w:t>Water Efficiency</w:t>
      </w:r>
    </w:p>
    <w:p>
      <w:pPr>
        <w:spacing w:before="60" w:after="100"/>
      </w:pPr>
      <w:r>
        <w:rPr>
          <w:b/>
          <w:sz w:val="20"/>
        </w:rPr>
        <w:t xml:space="preserve">Status: </w:t>
      </w:r>
      <w:r>
        <w:rPr>
          <w:b/>
          <w:color w:val="B8860B"/>
          <w:sz w:val="20"/>
        </w:rPr>
        <w:t>Stable</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1928"/>
            <w:shd w:val="clear" w:color="auto" w:fill="00857C"/>
          </w:tcPr>
          <w:p>
            <w:pPr>
              <w:spacing w:before="60" w:after="60"/>
            </w:pPr>
            <w:r>
              <w:rPr>
                <w:b/>
                <w:color w:val="FFFFFF"/>
                <w:sz w:val="18"/>
              </w:rPr>
              <w:t>MU Conductivity</w:t>
            </w:r>
          </w:p>
        </w:tc>
        <w:tc>
          <w:tcPr>
            <w:tcW w:type="dxa" w:w="1928"/>
            <w:shd w:val="clear" w:color="auto" w:fill="00857C"/>
          </w:tcPr>
          <w:p>
            <w:pPr>
              <w:spacing w:before="60" w:after="60"/>
            </w:pPr>
            <w:r>
              <w:rPr>
                <w:b/>
                <w:color w:val="FFFFFF"/>
                <w:sz w:val="18"/>
              </w:rPr>
              <w:t>Target COC</w:t>
            </w:r>
          </w:p>
        </w:tc>
        <w:tc>
          <w:tcPr>
            <w:tcW w:type="dxa" w:w="1928"/>
            <w:shd w:val="clear" w:color="auto" w:fill="00857C"/>
          </w:tcPr>
          <w:p>
            <w:pPr>
              <w:spacing w:before="60" w:after="60"/>
            </w:pPr>
            <w:r>
              <w:rPr>
                <w:b/>
                <w:color w:val="FFFFFF"/>
                <w:sz w:val="18"/>
              </w:rPr>
              <w:t>Actual COC</w:t>
            </w:r>
          </w:p>
        </w:tc>
        <w:tc>
          <w:tcPr>
            <w:tcW w:type="dxa" w:w="1928"/>
            <w:shd w:val="clear" w:color="auto" w:fill="00857C"/>
          </w:tcPr>
          <w:p>
            <w:pPr>
              <w:spacing w:before="60" w:after="60"/>
            </w:pPr>
            <w:r>
              <w:rPr>
                <w:b/>
                <w:color w:val="FFFFFF"/>
                <w:sz w:val="18"/>
              </w:rPr>
              <w:t>Deviation</w:t>
            </w:r>
          </w:p>
        </w:tc>
        <w:tc>
          <w:tcPr>
            <w:tcW w:type="dxa" w:w="1928"/>
            <w:shd w:val="clear" w:color="auto" w:fill="00857C"/>
          </w:tcPr>
          <w:p>
            <w:pPr>
              <w:spacing w:before="60" w:after="60"/>
            </w:pPr>
            <w:r>
              <w:rPr>
                <w:b/>
                <w:color w:val="FFFFFF"/>
                <w:sz w:val="18"/>
              </w:rPr>
              <w:t>Status</w:t>
            </w:r>
          </w:p>
        </w:tc>
      </w:tr>
      <w:tr>
        <w:tc>
          <w:tcPr>
            <w:tcW w:type="dxa" w:w="1928"/>
            <w:shd w:val="clear" w:color="auto" w:fill="FFFFFF"/>
          </w:tcPr>
          <w:p>
            <w:pPr>
              <w:spacing w:before="60" w:after="60"/>
            </w:pPr>
            <w:r>
              <w:rPr>
                <w:sz w:val="18"/>
              </w:rPr>
              <w:t>224.4 µS/cm</w:t>
            </w:r>
          </w:p>
        </w:tc>
        <w:tc>
          <w:tcPr>
            <w:tcW w:type="dxa" w:w="1928"/>
            <w:shd w:val="clear" w:color="auto" w:fill="FFFFFF"/>
          </w:tcPr>
          <w:p>
            <w:pPr>
              <w:spacing w:before="60" w:after="60"/>
            </w:pPr>
            <w:r>
              <w:rPr>
                <w:sz w:val="18"/>
              </w:rPr>
              <w:t>2.67</w:t>
            </w:r>
          </w:p>
        </w:tc>
        <w:tc>
          <w:tcPr>
            <w:tcW w:type="dxa" w:w="1928"/>
            <w:shd w:val="clear" w:color="auto" w:fill="FFFFFF"/>
          </w:tcPr>
          <w:p>
            <w:pPr>
              <w:spacing w:before="60" w:after="60"/>
            </w:pPr>
            <w:r>
              <w:rPr>
                <w:sz w:val="18"/>
              </w:rPr>
              <w:t>3.23</w:t>
            </w:r>
          </w:p>
        </w:tc>
        <w:tc>
          <w:tcPr>
            <w:tcW w:type="dxa" w:w="1928"/>
            <w:shd w:val="clear" w:color="auto" w:fill="FFFFFF"/>
          </w:tcPr>
          <w:p>
            <w:pPr>
              <w:spacing w:before="60" w:after="60"/>
            </w:pPr>
            <w:r>
              <w:rPr>
                <w:sz w:val="18"/>
              </w:rPr>
              <w:t>20.8%</w:t>
            </w:r>
          </w:p>
        </w:tc>
        <w:tc>
          <w:tcPr>
            <w:tcW w:type="dxa" w:w="1928"/>
            <w:shd w:val="clear" w:color="auto" w:fill="FFFFFF"/>
          </w:tcPr>
          <w:p>
            <w:pPr>
              <w:spacing w:before="60" w:after="60"/>
            </w:pPr>
            <w:r>
              <w:rPr>
                <w:sz w:val="18"/>
              </w:rPr>
              <w:t>Okay</w:t>
            </w:r>
          </w:p>
        </w:tc>
      </w:tr>
    </w:tbl>
    <w:p/>
    <w:p>
      <w:pPr>
        <w:spacing w:before="80" w:after="120"/>
        <w:jc w:val="left"/>
      </w:pPr>
      <w:r>
        <w:rPr>
          <w:b w:val="0"/>
          <w:i w:val="0"/>
          <w:sz w:val="20"/>
        </w:rPr>
        <w:t>Water efficiency status was Good, with 90.0% of recent conductivity readings within the 570-630 uS/cm Controller Setpoint range. The actual COC was 2.9 compared with a target COC of 2.67, representing an 8.6% deviation from target. Conductivity averaged 651.4 uS/cm over 90 days, so blowdown control should continue to be monitored while the system remains close to the expected concentration range.</w:t>
      </w:r>
    </w:p>
    <w:p>
      <w:pPr>
        <w:spacing w:before="200" w:after="60"/>
      </w:pPr>
      <w:r>
        <w:rPr>
          <w:b/>
          <w:color w:val="005F58"/>
          <w:sz w:val="26"/>
        </w:rPr>
        <w:t>Product Efficiency</w:t>
      </w:r>
    </w:p>
    <w:p>
      <w:pPr>
        <w:spacing w:before="80" w:after="120"/>
        <w:jc w:val="left"/>
      </w:pPr>
      <w:r>
        <w:rPr>
          <w:b w:val="0"/>
          <w:i w:val="0"/>
          <w:sz w:val="20"/>
        </w:rPr>
        <w:t>Traced Product dosing efficiency was well maintained because the 90-day mean was 44.5 ppm against the 43.0 ppm Controller Setpoint target and remained within the 40.9-45.1 ppm range. Actual Traced Product consumption was not available for this reporting period. The next service visit should verify feed consistency and fluorometer calibration because only 20.0% of recent readings were within the control range.</w:t>
      </w:r>
    </w:p>
    <w:p>
      <w:pPr>
        <w:spacing w:before="200" w:after="60"/>
      </w:pPr>
      <w:r>
        <w:rPr>
          <w:b/>
          <w:color w:val="005F58"/>
          <w:sz w:val="26"/>
        </w:rPr>
        <w:t>Proactive System Support</w:t>
      </w:r>
    </w:p>
    <w:p>
      <w:pPr>
        <w:spacing w:before="80" w:after="120"/>
        <w:jc w:val="left"/>
      </w:pPr>
      <w:r>
        <w:rPr>
          <w:b w:val="0"/>
          <w:i w:val="0"/>
          <w:sz w:val="20"/>
        </w:rPr>
        <w:t>Proactive System Support: No alarm data was available for this reporting period; Ackumen averages 6 alarms per controller for comparable monitored systems. No service notes were recorded, so there were no documented Actions Completed to incorporate for May 2026.</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0.100</w:t>
            </w:r>
          </w:p>
        </w:tc>
        <w:tc>
          <w:tcPr>
            <w:tcW w:type="dxa" w:w="850"/>
            <w:shd w:val="clear" w:color="auto" w:fill="FFFFFF"/>
          </w:tcPr>
          <w:p>
            <w:pPr>
              <w:spacing w:before="60" w:after="60"/>
            </w:pPr>
            <w:r>
              <w:rPr>
                <w:sz w:val="18"/>
              </w:rPr>
              <w:t>0.000</w:t>
            </w:r>
          </w:p>
        </w:tc>
        <w:tc>
          <w:tcPr>
            <w:tcW w:type="dxa" w:w="794"/>
            <w:shd w:val="clear" w:color="auto" w:fill="FFFFFF"/>
          </w:tcPr>
          <w:p>
            <w:pPr>
              <w:spacing w:before="60" w:after="60"/>
            </w:pPr>
            <w:r>
              <w:rPr>
                <w:sz w:val="18"/>
              </w:rPr>
              <w:t>0.100</w:t>
            </w:r>
          </w:p>
        </w:tc>
        <w:tc>
          <w:tcPr>
            <w:tcW w:type="dxa" w:w="794"/>
            <w:shd w:val="clear" w:color="auto" w:fill="FFFFFF"/>
          </w:tcPr>
          <w:p>
            <w:pPr>
              <w:spacing w:before="60" w:after="60"/>
            </w:pPr>
            <w:r>
              <w:rPr>
                <w:sz w:val="18"/>
              </w:rPr>
              <w:t>0.100</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Good</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0.052</w:t>
            </w:r>
          </w:p>
        </w:tc>
        <w:tc>
          <w:tcPr>
            <w:tcW w:type="dxa" w:w="850"/>
            <w:shd w:val="clear" w:color="auto" w:fill="F2F8F7"/>
          </w:tcPr>
          <w:p>
            <w:pPr>
              <w:spacing w:before="60" w:after="60"/>
            </w:pPr>
            <w:r>
              <w:rPr>
                <w:sz w:val="18"/>
              </w:rPr>
              <w:t>0.006</w:t>
            </w:r>
          </w:p>
        </w:tc>
        <w:tc>
          <w:tcPr>
            <w:tcW w:type="dxa" w:w="794"/>
            <w:shd w:val="clear" w:color="auto" w:fill="F2F8F7"/>
          </w:tcPr>
          <w:p>
            <w:pPr>
              <w:spacing w:before="60" w:after="60"/>
            </w:pPr>
            <w:r>
              <w:rPr>
                <w:sz w:val="18"/>
              </w:rPr>
              <w:t>0.000</w:t>
            </w:r>
          </w:p>
        </w:tc>
        <w:tc>
          <w:tcPr>
            <w:tcW w:type="dxa" w:w="794"/>
            <w:shd w:val="clear" w:color="auto" w:fill="F2F8F7"/>
          </w:tcPr>
          <w:p>
            <w:pPr>
              <w:spacing w:before="60" w:after="60"/>
            </w:pPr>
            <w:r>
              <w:rPr>
                <w:sz w:val="18"/>
              </w:rPr>
              <w:t>0.118</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100.0%</w:t>
            </w:r>
          </w:p>
        </w:tc>
        <w:tc>
          <w:tcPr>
            <w:tcW w:type="dxa" w:w="1247"/>
            <w:shd w:val="clear" w:color="auto" w:fill="F2F8F7"/>
          </w:tcPr>
          <w:p>
            <w:pPr>
              <w:spacing w:before="60" w:after="60"/>
            </w:pPr>
            <w:r>
              <w:rPr>
                <w:sz w:val="18"/>
              </w:rPr>
              <w:t>✓ Good</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44.529</w:t>
            </w:r>
          </w:p>
        </w:tc>
        <w:tc>
          <w:tcPr>
            <w:tcW w:type="dxa" w:w="850"/>
            <w:shd w:val="clear" w:color="auto" w:fill="FFFFFF"/>
          </w:tcPr>
          <w:p>
            <w:pPr>
              <w:spacing w:before="60" w:after="60"/>
            </w:pPr>
            <w:r>
              <w:rPr>
                <w:sz w:val="18"/>
              </w:rPr>
              <w:t>2.575</w:t>
            </w:r>
          </w:p>
        </w:tc>
        <w:tc>
          <w:tcPr>
            <w:tcW w:type="dxa" w:w="794"/>
            <w:shd w:val="clear" w:color="auto" w:fill="FFFFFF"/>
          </w:tcPr>
          <w:p>
            <w:pPr>
              <w:spacing w:before="60" w:after="60"/>
            </w:pPr>
            <w:r>
              <w:rPr>
                <w:sz w:val="18"/>
              </w:rPr>
              <w:t>39.896</w:t>
            </w:r>
          </w:p>
        </w:tc>
        <w:tc>
          <w:tcPr>
            <w:tcW w:type="dxa" w:w="794"/>
            <w:shd w:val="clear" w:color="auto" w:fill="FFFFFF"/>
          </w:tcPr>
          <w:p>
            <w:pPr>
              <w:spacing w:before="60" w:after="60"/>
            </w:pPr>
            <w:r>
              <w:rPr>
                <w:sz w:val="18"/>
              </w:rPr>
              <w:t>55.731</w:t>
            </w:r>
          </w:p>
        </w:tc>
        <w:tc>
          <w:tcPr>
            <w:tcW w:type="dxa" w:w="964"/>
            <w:shd w:val="clear" w:color="auto" w:fill="FFFFFF"/>
          </w:tcPr>
          <w:p>
            <w:pPr>
              <w:spacing w:before="60" w:after="60"/>
            </w:pPr>
            <w:r>
              <w:rPr>
                <w:sz w:val="18"/>
              </w:rPr>
              <w:t>40.9</w:t>
            </w:r>
          </w:p>
        </w:tc>
        <w:tc>
          <w:tcPr>
            <w:tcW w:type="dxa" w:w="964"/>
            <w:shd w:val="clear" w:color="auto" w:fill="FFFFFF"/>
          </w:tcPr>
          <w:p>
            <w:pPr>
              <w:spacing w:before="60" w:after="60"/>
            </w:pPr>
            <w:r>
              <w:rPr>
                <w:sz w:val="18"/>
              </w:rPr>
              <w:t>45.1</w:t>
            </w:r>
          </w:p>
        </w:tc>
        <w:tc>
          <w:tcPr>
            <w:tcW w:type="dxa" w:w="1020"/>
            <w:shd w:val="clear" w:color="auto" w:fill="FFFFFF"/>
          </w:tcPr>
          <w:p>
            <w:pPr>
              <w:spacing w:before="60" w:after="60"/>
            </w:pPr>
            <w:r>
              <w:rPr>
                <w:sz w:val="18"/>
              </w:rPr>
              <w:t>58.6%</w:t>
            </w:r>
          </w:p>
        </w:tc>
        <w:tc>
          <w:tcPr>
            <w:tcW w:type="dxa" w:w="1247"/>
            <w:shd w:val="clear" w:color="auto" w:fill="FFFFFF"/>
          </w:tcPr>
          <w:p>
            <w:pPr>
              <w:spacing w:before="60" w:after="60"/>
            </w:pPr>
            <w:r>
              <w:rPr>
                <w:sz w:val="18"/>
              </w:rPr>
              <w:t>⚠ Stable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724.762</w:t>
            </w:r>
          </w:p>
        </w:tc>
        <w:tc>
          <w:tcPr>
            <w:tcW w:type="dxa" w:w="850"/>
            <w:shd w:val="clear" w:color="auto" w:fill="F2F8F7"/>
          </w:tcPr>
          <w:p>
            <w:pPr>
              <w:spacing w:before="60" w:after="60"/>
            </w:pPr>
            <w:r>
              <w:rPr>
                <w:sz w:val="18"/>
              </w:rPr>
              <w:t>92.493</w:t>
            </w:r>
          </w:p>
        </w:tc>
        <w:tc>
          <w:tcPr>
            <w:tcW w:type="dxa" w:w="794"/>
            <w:shd w:val="clear" w:color="auto" w:fill="F2F8F7"/>
          </w:tcPr>
          <w:p>
            <w:pPr>
              <w:spacing w:before="60" w:after="60"/>
            </w:pPr>
            <w:r>
              <w:rPr>
                <w:sz w:val="18"/>
              </w:rPr>
              <w:t>479.900</w:t>
            </w:r>
          </w:p>
        </w:tc>
        <w:tc>
          <w:tcPr>
            <w:tcW w:type="dxa" w:w="794"/>
            <w:shd w:val="clear" w:color="auto" w:fill="F2F8F7"/>
          </w:tcPr>
          <w:p>
            <w:pPr>
              <w:spacing w:before="60" w:after="60"/>
            </w:pPr>
            <w:r>
              <w:rPr>
                <w:sz w:val="18"/>
              </w:rPr>
              <w:t>3749.989</w:t>
            </w:r>
          </w:p>
        </w:tc>
        <w:tc>
          <w:tcPr>
            <w:tcW w:type="dxa" w:w="964"/>
            <w:shd w:val="clear" w:color="auto" w:fill="F2F8F7"/>
          </w:tcPr>
          <w:p>
            <w:pPr>
              <w:spacing w:before="60" w:after="60"/>
            </w:pPr>
            <w:r>
              <w:rPr>
                <w:sz w:val="18"/>
              </w:rPr>
              <w:t>570</w:t>
            </w:r>
          </w:p>
        </w:tc>
        <w:tc>
          <w:tcPr>
            <w:tcW w:type="dxa" w:w="964"/>
            <w:shd w:val="clear" w:color="auto" w:fill="F2F8F7"/>
          </w:tcPr>
          <w:p>
            <w:pPr>
              <w:spacing w:before="60" w:after="60"/>
            </w:pPr>
            <w:r>
              <w:rPr>
                <w:sz w:val="18"/>
              </w:rPr>
              <w:t>630</w:t>
            </w:r>
          </w:p>
        </w:tc>
        <w:tc>
          <w:tcPr>
            <w:tcW w:type="dxa" w:w="1020"/>
            <w:shd w:val="clear" w:color="auto" w:fill="F2F8F7"/>
          </w:tcPr>
          <w:p>
            <w:pPr>
              <w:spacing w:before="60" w:after="60"/>
            </w:pPr>
            <w:r>
              <w:rPr>
                <w:sz w:val="18"/>
              </w:rPr>
              <w:t>7.6%</w:t>
            </w:r>
          </w:p>
        </w:tc>
        <w:tc>
          <w:tcPr>
            <w:tcW w:type="dxa" w:w="1247"/>
            <w:shd w:val="clear" w:color="auto" w:fill="F2F8F7"/>
          </w:tcPr>
          <w:p>
            <w:pPr>
              <w:spacing w:before="60" w:after="60"/>
            </w:pPr>
            <w:r>
              <w:rPr>
                <w:sz w:val="18"/>
              </w:rPr>
              <w:t>⚠ Action Required</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8.896</w:t>
            </w:r>
          </w:p>
        </w:tc>
        <w:tc>
          <w:tcPr>
            <w:tcW w:type="dxa" w:w="850"/>
            <w:shd w:val="clear" w:color="auto" w:fill="FFFFFF"/>
          </w:tcPr>
          <w:p>
            <w:pPr>
              <w:spacing w:before="60" w:after="60"/>
            </w:pPr>
            <w:r>
              <w:rPr>
                <w:sz w:val="18"/>
              </w:rPr>
              <w:t>0.094</w:t>
            </w:r>
          </w:p>
        </w:tc>
        <w:tc>
          <w:tcPr>
            <w:tcW w:type="dxa" w:w="794"/>
            <w:shd w:val="clear" w:color="auto" w:fill="FFFFFF"/>
          </w:tcPr>
          <w:p>
            <w:pPr>
              <w:spacing w:before="60" w:after="60"/>
            </w:pPr>
            <w:r>
              <w:rPr>
                <w:sz w:val="18"/>
              </w:rPr>
              <w:t>8.731</w:t>
            </w:r>
          </w:p>
        </w:tc>
        <w:tc>
          <w:tcPr>
            <w:tcW w:type="dxa" w:w="794"/>
            <w:shd w:val="clear" w:color="auto" w:fill="FFFFFF"/>
          </w:tcPr>
          <w:p>
            <w:pPr>
              <w:spacing w:before="60" w:after="60"/>
            </w:pPr>
            <w:r>
              <w:rPr>
                <w:sz w:val="18"/>
              </w:rPr>
              <w:t>9.164</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153.848</w:t>
            </w:r>
          </w:p>
        </w:tc>
        <w:tc>
          <w:tcPr>
            <w:tcW w:type="dxa" w:w="850"/>
            <w:shd w:val="clear" w:color="auto" w:fill="F2F8F7"/>
          </w:tcPr>
          <w:p>
            <w:pPr>
              <w:spacing w:before="60" w:after="60"/>
            </w:pPr>
            <w:r>
              <w:rPr>
                <w:sz w:val="18"/>
              </w:rPr>
              <w:t>73.168</w:t>
            </w:r>
          </w:p>
        </w:tc>
        <w:tc>
          <w:tcPr>
            <w:tcW w:type="dxa" w:w="794"/>
            <w:shd w:val="clear" w:color="auto" w:fill="F2F8F7"/>
          </w:tcPr>
          <w:p>
            <w:pPr>
              <w:spacing w:before="60" w:after="60"/>
            </w:pPr>
            <w:r>
              <w:rPr>
                <w:sz w:val="18"/>
              </w:rPr>
              <w:t>34.464</w:t>
            </w:r>
          </w:p>
        </w:tc>
        <w:tc>
          <w:tcPr>
            <w:tcW w:type="dxa" w:w="794"/>
            <w:shd w:val="clear" w:color="auto" w:fill="F2F8F7"/>
          </w:tcPr>
          <w:p>
            <w:pPr>
              <w:spacing w:before="60" w:after="60"/>
            </w:pPr>
            <w:r>
              <w:rPr>
                <w:sz w:val="18"/>
              </w:rPr>
              <w:t>367.037</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0.000</w:t>
            </w:r>
          </w:p>
        </w:tc>
        <w:tc>
          <w:tcPr>
            <w:tcW w:type="dxa" w:w="850"/>
            <w:shd w:val="clear" w:color="auto" w:fill="FFFFFF"/>
          </w:tcPr>
          <w:p>
            <w:pPr>
              <w:spacing w:before="60" w:after="60"/>
            </w:pPr>
            <w:r>
              <w:rPr>
                <w:sz w:val="18"/>
              </w:rPr>
              <w:t>0.000</w:t>
            </w:r>
          </w:p>
        </w:tc>
        <w:tc>
          <w:tcPr>
            <w:tcW w:type="dxa" w:w="794"/>
            <w:shd w:val="clear" w:color="auto" w:fill="FFFFFF"/>
          </w:tcPr>
          <w:p>
            <w:pPr>
              <w:spacing w:before="60" w:after="60"/>
            </w:pPr>
            <w:r>
              <w:rPr>
                <w:sz w:val="18"/>
              </w:rPr>
              <w:t>0.000</w:t>
            </w:r>
          </w:p>
        </w:tc>
        <w:tc>
          <w:tcPr>
            <w:tcW w:type="dxa" w:w="794"/>
            <w:shd w:val="clear" w:color="auto" w:fill="FFFFFF"/>
          </w:tcPr>
          <w:p>
            <w:pPr>
              <w:spacing w:before="60" w:after="60"/>
            </w:pPr>
            <w:r>
              <w:rPr>
                <w:sz w:val="18"/>
              </w:rPr>
              <w:t>0.000</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4.848</w:t>
            </w:r>
          </w:p>
        </w:tc>
        <w:tc>
          <w:tcPr>
            <w:tcW w:type="dxa" w:w="850"/>
            <w:shd w:val="clear" w:color="auto" w:fill="F2F8F7"/>
          </w:tcPr>
          <w:p>
            <w:pPr>
              <w:spacing w:before="60" w:after="60"/>
            </w:pPr>
            <w:r>
              <w:rPr>
                <w:sz w:val="18"/>
              </w:rPr>
              <w:t>0.727</w:t>
            </w:r>
          </w:p>
        </w:tc>
        <w:tc>
          <w:tcPr>
            <w:tcW w:type="dxa" w:w="794"/>
            <w:shd w:val="clear" w:color="auto" w:fill="F2F8F7"/>
          </w:tcPr>
          <w:p>
            <w:pPr>
              <w:spacing w:before="60" w:after="60"/>
            </w:pPr>
            <w:r>
              <w:rPr>
                <w:sz w:val="18"/>
              </w:rPr>
              <w:t>2.913</w:t>
            </w:r>
          </w:p>
        </w:tc>
        <w:tc>
          <w:tcPr>
            <w:tcW w:type="dxa" w:w="794"/>
            <w:shd w:val="clear" w:color="auto" w:fill="F2F8F7"/>
          </w:tcPr>
          <w:p>
            <w:pPr>
              <w:spacing w:before="60" w:after="60"/>
            </w:pPr>
            <w:r>
              <w:rPr>
                <w:sz w:val="18"/>
              </w:rPr>
              <w:t>8.809</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82656"/>
            <wp:docPr id="1" name="Picture 1"/>
            <wp:cNvGraphicFramePr>
              <a:graphicFrameLocks noChangeAspect="1"/>
            </wp:cNvGraphicFramePr>
            <a:graphic>
              <a:graphicData uri="http://schemas.openxmlformats.org/drawingml/2006/picture">
                <pic:pic>
                  <pic:nvPicPr>
                    <pic:cNvPr id="0" name="st_joseph_s_hospital_savannah_ga_us_may_2026_corrosion.png"/>
                    <pic:cNvPicPr/>
                  </pic:nvPicPr>
                  <pic:blipFill>
                    <a:blip r:embed="rId11"/>
                    <a:stretch>
                      <a:fillRect/>
                    </a:stretch>
                  </pic:blipFill>
                  <pic:spPr>
                    <a:xfrm>
                      <a:off x="0" y="0"/>
                      <a:ext cx="5486400" cy="2582656"/>
                    </a:xfrm>
                    <a:prstGeom prst="rect"/>
                  </pic:spPr>
                </pic:pic>
              </a:graphicData>
            </a:graphic>
          </wp:inline>
        </w:drawing>
      </w:r>
    </w:p>
    <w:p>
      <w:pPr>
        <w:spacing w:after="120"/>
        <w:jc w:val="center"/>
      </w:pPr>
      <w:r>
        <w:rPr>
          <w:i/>
          <w:color w:val="444444"/>
          <w:sz w:val="17"/>
        </w:rPr>
        <w:t>Figure 1: Corrosion Rate — May 2026</w:t>
      </w:r>
    </w:p>
    <w:p>
      <w:pPr>
        <w:spacing w:before="40" w:after="200"/>
      </w:pPr>
      <w:r>
        <w:rPr>
          <w:i/>
          <w:color w:val="333333"/>
          <w:sz w:val="19"/>
        </w:rPr>
        <w:t>Comment: The corrosion trend chart shows mild steel averaging 0.10 MPY and copper averaging 0.0474 MPY, both within their targets, with no indication that the corrosion program is approaching the control limits.</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82656"/>
            <wp:docPr id="2" name="Picture 2"/>
            <wp:cNvGraphicFramePr>
              <a:graphicFrameLocks noChangeAspect="1"/>
            </wp:cNvGraphicFramePr>
            <a:graphic>
              <a:graphicData uri="http://schemas.openxmlformats.org/drawingml/2006/picture">
                <pic:pic>
                  <pic:nvPicPr>
                    <pic:cNvPr id="0" name="st_joseph_s_hospital_savannah_ga_us_may_2026_traced_product.png"/>
                    <pic:cNvPicPr/>
                  </pic:nvPicPr>
                  <pic:blipFill>
                    <a:blip r:embed="rId12"/>
                    <a:stretch>
                      <a:fillRect/>
                    </a:stretch>
                  </pic:blipFill>
                  <pic:spPr>
                    <a:xfrm>
                      <a:off x="0" y="0"/>
                      <a:ext cx="5486400" cy="2582656"/>
                    </a:xfrm>
                    <a:prstGeom prst="rect"/>
                  </pic:spPr>
                </pic:pic>
              </a:graphicData>
            </a:graphic>
          </wp:inline>
        </w:drawing>
      </w:r>
    </w:p>
    <w:p>
      <w:pPr>
        <w:spacing w:after="120"/>
        <w:jc w:val="center"/>
      </w:pPr>
      <w:r>
        <w:rPr>
          <w:i/>
          <w:color w:val="444444"/>
          <w:sz w:val="17"/>
        </w:rPr>
        <w:t>Figure 2: Traced Product — May 2026</w:t>
      </w:r>
    </w:p>
    <w:p>
      <w:pPr>
        <w:spacing w:before="40" w:after="200"/>
      </w:pPr>
      <w:r>
        <w:rPr>
          <w:i/>
          <w:color w:val="333333"/>
          <w:sz w:val="19"/>
        </w:rPr>
        <w:t>Comment: The Traced Product trend chart shows a 90-day mean of 44.5 ppm versus the 40.9-45.1 ppm range, a 0.0% deviation from the range that indicates the product average was in range while recent variability supports reviewing feed consistency and fluorometer calibration during the upcoming service visit.</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84849"/>
            <wp:docPr id="3" name="Picture 3"/>
            <wp:cNvGraphicFramePr>
              <a:graphicFrameLocks noChangeAspect="1"/>
            </wp:cNvGraphicFramePr>
            <a:graphic>
              <a:graphicData uri="http://schemas.openxmlformats.org/drawingml/2006/picture">
                <pic:pic>
                  <pic:nvPicPr>
                    <pic:cNvPr id="0" name="st_joseph_s_hospital_savannah_ga_us_may_2026_orp_corrosion.png"/>
                    <pic:cNvPicPr/>
                  </pic:nvPicPr>
                  <pic:blipFill>
                    <a:blip r:embed="rId13"/>
                    <a:stretch>
                      <a:fillRect/>
                    </a:stretch>
                  </pic:blipFill>
                  <pic:spPr>
                    <a:xfrm>
                      <a:off x="0" y="0"/>
                      <a:ext cx="5486400" cy="2584849"/>
                    </a:xfrm>
                    <a:prstGeom prst="rect"/>
                  </pic:spPr>
                </pic:pic>
              </a:graphicData>
            </a:graphic>
          </wp:inline>
        </w:drawing>
      </w:r>
    </w:p>
    <w:p>
      <w:pPr>
        <w:spacing w:after="120"/>
        <w:jc w:val="center"/>
      </w:pPr>
      <w:r>
        <w:rPr>
          <w:i/>
          <w:color w:val="444444"/>
          <w:sz w:val="17"/>
        </w:rPr>
        <w:t>Figure 3: ORP vs Copper Corrosion Rate — May 2026</w:t>
      </w:r>
    </w:p>
    <w:p>
      <w:pPr>
        <w:spacing w:before="40" w:after="200"/>
      </w:pPr>
      <w:r>
        <w:rPr>
          <w:i/>
          <w:color w:val="333333"/>
          <w:sz w:val="19"/>
        </w:rPr>
        <w:t>Comment: The ORP trend chart shows consistent spike response after biocide dosing was triggered, indicating the system responded to treatment with 0.0% deviation from the expected spike pattern and good microbial treatment response.</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82656"/>
            <wp:docPr id="4" name="Picture 4"/>
            <wp:cNvGraphicFramePr>
              <a:graphicFrameLocks noChangeAspect="1"/>
            </wp:cNvGraphicFramePr>
            <a:graphic>
              <a:graphicData uri="http://schemas.openxmlformats.org/drawingml/2006/picture">
                <pic:pic>
                  <pic:nvPicPr>
                    <pic:cNvPr id="0" name="st_joseph_s_hospital_savannah_ga_us_may_2026_biocide_corrosion.png"/>
                    <pic:cNvPicPr/>
                  </pic:nvPicPr>
                  <pic:blipFill>
                    <a:blip r:embed="rId14"/>
                    <a:stretch>
                      <a:fillRect/>
                    </a:stretch>
                  </pic:blipFill>
                  <pic:spPr>
                    <a:xfrm>
                      <a:off x="0" y="0"/>
                      <a:ext cx="5486400" cy="2582656"/>
                    </a:xfrm>
                    <a:prstGeom prst="rect"/>
                  </pic:spPr>
                </pic:pic>
              </a:graphicData>
            </a:graphic>
          </wp:inline>
        </w:drawing>
      </w:r>
    </w:p>
    <w:p>
      <w:pPr>
        <w:spacing w:after="120"/>
        <w:jc w:val="center"/>
      </w:pPr>
      <w:r>
        <w:rPr>
          <w:i/>
          <w:color w:val="444444"/>
          <w:sz w:val="17"/>
        </w:rPr>
        <w:t>Figure 4: Oxidizing Biocide Pump Relay vs Copper Corrosion — May 2026</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82656"/>
            <wp:docPr id="5" name="Picture 5"/>
            <wp:cNvGraphicFramePr>
              <a:graphicFrameLocks noChangeAspect="1"/>
            </wp:cNvGraphicFramePr>
            <a:graphic>
              <a:graphicData uri="http://schemas.openxmlformats.org/drawingml/2006/picture">
                <pic:pic>
                  <pic:nvPicPr>
                    <pic:cNvPr id="0" name="st_joseph_s_hospital_savannah_ga_us_may_2026_conductivity.png"/>
                    <pic:cNvPicPr/>
                  </pic:nvPicPr>
                  <pic:blipFill>
                    <a:blip r:embed="rId15"/>
                    <a:stretch>
                      <a:fillRect/>
                    </a:stretch>
                  </pic:blipFill>
                  <pic:spPr>
                    <a:xfrm>
                      <a:off x="0" y="0"/>
                      <a:ext cx="5486400" cy="2582656"/>
                    </a:xfrm>
                    <a:prstGeom prst="rect"/>
                  </pic:spPr>
                </pic:pic>
              </a:graphicData>
            </a:graphic>
          </wp:inline>
        </w:drawing>
      </w:r>
    </w:p>
    <w:p>
      <w:pPr>
        <w:spacing w:after="120"/>
        <w:jc w:val="center"/>
      </w:pPr>
      <w:r>
        <w:rPr>
          <w:i/>
          <w:color w:val="444444"/>
          <w:sz w:val="17"/>
        </w:rPr>
        <w:t>Figure 5: Electrode Conductivity — May 2026</w:t>
      </w:r>
    </w:p>
    <w:p>
      <w:pPr>
        <w:spacing w:before="40" w:after="200"/>
      </w:pPr>
      <w:r>
        <w:rPr>
          <w:i/>
          <w:color w:val="333333"/>
          <w:sz w:val="19"/>
        </w:rPr>
        <w:t>Comment: The conductivity trend chart shows a 90-day average of 651.4 uS/cm versus the 600 uS/cm setpoint and 570-630 uS/cm range, 3.4% above the upper range, which indicates slightly elevated concentration rather than water loss; review blowdown valve operation and blowdown settings during the upcoming service visit.</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Overall performance for May 2026 was Good for corrosion control and water efficiency, Stable for microbial control, and Action Required for scale control due to Traced Product control variability. The primary follow-up item is to review Traced Product feed consistency and calibration during the upcoming service visit while continuing to monitor conductivity and COC performance.</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St. Joseph's Hospital Savannah GA (US)  |  May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